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D4F1F" w14:textId="074A5D10" w:rsidR="000B4616" w:rsidRPr="00CC2367" w:rsidRDefault="003D0031" w:rsidP="000B4616">
      <w:pPr>
        <w:jc w:val="center"/>
        <w:rPr>
          <w:rFonts w:ascii="Times New Roman" w:hAnsi="Times New Roman" w:cs="Times New Roman"/>
          <w:b/>
          <w:bCs/>
          <w:sz w:val="24"/>
          <w:szCs w:val="24"/>
        </w:rPr>
      </w:pPr>
      <w:r w:rsidRPr="00CC2367">
        <w:rPr>
          <w:rFonts w:ascii="Times New Roman" w:hAnsi="Times New Roman" w:cs="Times New Roman"/>
          <w:b/>
          <w:bCs/>
          <w:sz w:val="24"/>
          <w:szCs w:val="24"/>
        </w:rPr>
        <w:t xml:space="preserve">A </w:t>
      </w:r>
      <w:r>
        <w:rPr>
          <w:rFonts w:ascii="Times New Roman" w:hAnsi="Times New Roman" w:cs="Times New Roman"/>
          <w:b/>
          <w:bCs/>
          <w:sz w:val="24"/>
          <w:szCs w:val="24"/>
        </w:rPr>
        <w:t>COMPARATIVE STUDY</w:t>
      </w:r>
      <w:r w:rsidRPr="00CC2367">
        <w:rPr>
          <w:rFonts w:ascii="Times New Roman" w:hAnsi="Times New Roman" w:cs="Times New Roman"/>
          <w:b/>
          <w:bCs/>
          <w:sz w:val="24"/>
          <w:szCs w:val="24"/>
        </w:rPr>
        <w:t xml:space="preserve"> ON THE </w:t>
      </w:r>
      <w:r>
        <w:rPr>
          <w:rFonts w:ascii="Times New Roman" w:hAnsi="Times New Roman" w:cs="Times New Roman"/>
          <w:b/>
          <w:bCs/>
          <w:sz w:val="24"/>
          <w:szCs w:val="24"/>
        </w:rPr>
        <w:t>MENTAL TOUGHNESS BETWEEN ATTACKERS</w:t>
      </w:r>
      <w:r w:rsidRPr="00CC2367">
        <w:rPr>
          <w:rFonts w:ascii="Times New Roman" w:hAnsi="Times New Roman" w:cs="Times New Roman"/>
          <w:b/>
          <w:bCs/>
          <w:sz w:val="24"/>
          <w:szCs w:val="24"/>
        </w:rPr>
        <w:t xml:space="preserve"> AND </w:t>
      </w:r>
      <w:r>
        <w:rPr>
          <w:rFonts w:ascii="Times New Roman" w:hAnsi="Times New Roman" w:cs="Times New Roman"/>
          <w:b/>
          <w:bCs/>
          <w:sz w:val="24"/>
          <w:szCs w:val="24"/>
        </w:rPr>
        <w:t>DEFENDERS</w:t>
      </w:r>
      <w:r w:rsidRPr="00CC2367">
        <w:rPr>
          <w:rFonts w:ascii="Times New Roman" w:hAnsi="Times New Roman" w:cs="Times New Roman"/>
          <w:b/>
          <w:bCs/>
          <w:sz w:val="24"/>
          <w:szCs w:val="24"/>
        </w:rPr>
        <w:t xml:space="preserve"> OF INTER-UNIVERSITY </w:t>
      </w:r>
      <w:r w:rsidR="00BC464E">
        <w:rPr>
          <w:rFonts w:ascii="Times New Roman" w:hAnsi="Times New Roman" w:cs="Times New Roman"/>
          <w:b/>
          <w:bCs/>
          <w:sz w:val="24"/>
          <w:szCs w:val="24"/>
        </w:rPr>
        <w:t xml:space="preserve">HOCKEY </w:t>
      </w:r>
      <w:r>
        <w:rPr>
          <w:rFonts w:ascii="Times New Roman" w:hAnsi="Times New Roman" w:cs="Times New Roman"/>
          <w:b/>
          <w:bCs/>
          <w:sz w:val="24"/>
          <w:szCs w:val="24"/>
        </w:rPr>
        <w:t>PLAYERS</w:t>
      </w:r>
    </w:p>
    <w:p w14:paraId="45BF4B65" w14:textId="3619B0E3" w:rsidR="003E6D96" w:rsidRPr="00AE3065" w:rsidRDefault="0020157E" w:rsidP="0020157E">
      <w:pPr>
        <w:ind w:left="1440" w:firstLine="720"/>
        <w:rPr>
          <w:rFonts w:ascii="Times New Roman" w:hAnsi="Times New Roman" w:cs="Times New Roman"/>
          <w:b/>
          <w:bCs/>
          <w:sz w:val="24"/>
          <w:szCs w:val="24"/>
          <w:lang w:val="en-US"/>
        </w:rPr>
      </w:pPr>
      <w:r w:rsidRPr="00AE3065">
        <w:rPr>
          <w:rFonts w:ascii="Times New Roman" w:hAnsi="Times New Roman" w:cs="Times New Roman"/>
          <w:b/>
          <w:bCs/>
          <w:sz w:val="24"/>
          <w:szCs w:val="24"/>
          <w:lang w:val="en-US"/>
        </w:rPr>
        <w:t xml:space="preserve">Mr. </w:t>
      </w:r>
      <w:r w:rsidR="00E0063C" w:rsidRPr="00AE3065">
        <w:rPr>
          <w:rFonts w:ascii="Times New Roman" w:hAnsi="Times New Roman" w:cs="Times New Roman"/>
          <w:b/>
          <w:bCs/>
          <w:sz w:val="24"/>
          <w:szCs w:val="24"/>
          <w:lang w:val="en-US"/>
        </w:rPr>
        <w:t>P</w:t>
      </w:r>
      <w:r w:rsidR="003E6D96" w:rsidRPr="00AE3065">
        <w:rPr>
          <w:rFonts w:ascii="Times New Roman" w:hAnsi="Times New Roman" w:cs="Times New Roman"/>
          <w:b/>
          <w:bCs/>
          <w:sz w:val="24"/>
          <w:szCs w:val="24"/>
          <w:lang w:val="en-US"/>
        </w:rPr>
        <w:t xml:space="preserve">radeep </w:t>
      </w:r>
      <w:r w:rsidR="00E0063C" w:rsidRPr="00AE3065">
        <w:rPr>
          <w:rFonts w:ascii="Times New Roman" w:hAnsi="Times New Roman" w:cs="Times New Roman"/>
          <w:b/>
          <w:bCs/>
          <w:sz w:val="24"/>
          <w:szCs w:val="24"/>
          <w:lang w:val="en-US"/>
        </w:rPr>
        <w:t>P</w:t>
      </w:r>
      <w:r w:rsidR="003E6D96" w:rsidRPr="00AE3065">
        <w:rPr>
          <w:rFonts w:ascii="Times New Roman" w:hAnsi="Times New Roman" w:cs="Times New Roman"/>
          <w:b/>
          <w:bCs/>
          <w:sz w:val="24"/>
          <w:szCs w:val="24"/>
          <w:lang w:val="en-US"/>
        </w:rPr>
        <w:t xml:space="preserve">rajapati, </w:t>
      </w:r>
      <w:r w:rsidR="00EE5BB8" w:rsidRPr="00AE3065">
        <w:rPr>
          <w:rFonts w:ascii="Times New Roman" w:hAnsi="Times New Roman" w:cs="Times New Roman"/>
          <w:b/>
          <w:bCs/>
          <w:sz w:val="24"/>
          <w:szCs w:val="24"/>
          <w:lang w:val="en-US"/>
        </w:rPr>
        <w:t>Dr.</w:t>
      </w:r>
      <w:r w:rsidR="00563256" w:rsidRPr="00AE3065">
        <w:rPr>
          <w:rFonts w:ascii="Times New Roman" w:hAnsi="Times New Roman" w:cs="Times New Roman"/>
          <w:b/>
          <w:bCs/>
          <w:sz w:val="24"/>
          <w:szCs w:val="24"/>
          <w:lang w:val="en-US"/>
        </w:rPr>
        <w:t xml:space="preserve"> Brij Kishore Prasad</w:t>
      </w:r>
    </w:p>
    <w:p w14:paraId="43403A3B" w14:textId="722E585D" w:rsidR="000E1182" w:rsidRPr="00AE3065" w:rsidRDefault="003E6D96" w:rsidP="00CD0589">
      <w:pPr>
        <w:rPr>
          <w:rFonts w:ascii="Times New Roman" w:hAnsi="Times New Roman" w:cs="Times New Roman"/>
          <w:lang w:val="en-US"/>
        </w:rPr>
      </w:pPr>
      <w:r w:rsidRPr="00AE3065">
        <w:rPr>
          <w:rFonts w:ascii="Times New Roman" w:hAnsi="Times New Roman" w:cs="Times New Roman"/>
          <w:lang w:val="en-US"/>
        </w:rPr>
        <w:t>PhD Scholar</w:t>
      </w:r>
      <w:r w:rsidR="00F706F4" w:rsidRPr="00AE3065">
        <w:rPr>
          <w:rFonts w:ascii="Times New Roman" w:hAnsi="Times New Roman" w:cs="Times New Roman"/>
          <w:lang w:val="en-US"/>
        </w:rPr>
        <w:t>,</w:t>
      </w:r>
      <w:r w:rsidRPr="00AE3065">
        <w:rPr>
          <w:rFonts w:ascii="Times New Roman" w:hAnsi="Times New Roman" w:cs="Times New Roman"/>
          <w:lang w:val="en-US"/>
        </w:rPr>
        <w:t xml:space="preserve"> Department of Health Sciences</w:t>
      </w:r>
      <w:r w:rsidR="00F706F4" w:rsidRPr="00AE3065">
        <w:rPr>
          <w:rFonts w:ascii="Times New Roman" w:hAnsi="Times New Roman" w:cs="Times New Roman"/>
          <w:lang w:val="en-US"/>
        </w:rPr>
        <w:t>,</w:t>
      </w:r>
      <w:r w:rsidRPr="00AE3065">
        <w:rPr>
          <w:rFonts w:ascii="Times New Roman" w:hAnsi="Times New Roman" w:cs="Times New Roman"/>
          <w:lang w:val="en-US"/>
        </w:rPr>
        <w:t xml:space="preserve"> Lakshmibai National Institute of Physical Education, Gwalior, M.P.</w:t>
      </w:r>
    </w:p>
    <w:p w14:paraId="576AD380" w14:textId="0B33B5A7" w:rsidR="00563256" w:rsidRPr="00AE3065" w:rsidRDefault="00F3295B" w:rsidP="00CD0589">
      <w:pPr>
        <w:rPr>
          <w:rFonts w:ascii="Times New Roman" w:hAnsi="Times New Roman" w:cs="Times New Roman"/>
          <w:lang w:val="en-US"/>
        </w:rPr>
      </w:pPr>
      <w:r w:rsidRPr="00AE3065">
        <w:rPr>
          <w:rFonts w:ascii="Times New Roman" w:hAnsi="Times New Roman" w:cs="Times New Roman"/>
          <w:lang w:val="en-US"/>
        </w:rPr>
        <w:t>Associate Professor</w:t>
      </w:r>
      <w:r w:rsidR="00F706F4" w:rsidRPr="00AE3065">
        <w:rPr>
          <w:rFonts w:ascii="Times New Roman" w:hAnsi="Times New Roman" w:cs="Times New Roman"/>
          <w:lang w:val="en-US"/>
        </w:rPr>
        <w:t>,</w:t>
      </w:r>
      <w:r w:rsidRPr="00AE3065">
        <w:rPr>
          <w:rFonts w:ascii="Times New Roman" w:hAnsi="Times New Roman" w:cs="Times New Roman"/>
          <w:lang w:val="en-US"/>
        </w:rPr>
        <w:t xml:space="preserve"> </w:t>
      </w:r>
      <w:r w:rsidR="00F706F4" w:rsidRPr="00AE3065">
        <w:rPr>
          <w:rFonts w:ascii="Times New Roman" w:hAnsi="Times New Roman" w:cs="Times New Roman"/>
          <w:lang w:val="en-US"/>
        </w:rPr>
        <w:t>Department of health sciences,</w:t>
      </w:r>
      <w:r w:rsidR="00F1404C" w:rsidRPr="00AE3065">
        <w:rPr>
          <w:rFonts w:ascii="Times New Roman" w:hAnsi="Times New Roman" w:cs="Times New Roman"/>
          <w:lang w:val="en-US"/>
        </w:rPr>
        <w:t xml:space="preserve"> Lakshmibai National Institute of Physical Education, Gwalior, M.P.</w:t>
      </w:r>
    </w:p>
    <w:p w14:paraId="59D89D2B" w14:textId="75A16E04" w:rsidR="00CD0589" w:rsidRPr="000E1182" w:rsidRDefault="000E1182" w:rsidP="00CD0589">
      <w:pPr>
        <w:rPr>
          <w:rFonts w:ascii="Times New Roman" w:hAnsi="Times New Roman" w:cs="Times New Roman"/>
          <w:b/>
          <w:bCs/>
          <w:sz w:val="24"/>
          <w:szCs w:val="24"/>
          <w:lang w:val="en-US"/>
        </w:rPr>
      </w:pPr>
      <w:r w:rsidRPr="000E1182">
        <w:rPr>
          <w:rFonts w:ascii="Times New Roman" w:hAnsi="Times New Roman" w:cs="Times New Roman"/>
          <w:b/>
          <w:bCs/>
          <w:sz w:val="24"/>
          <w:szCs w:val="24"/>
          <w:lang w:val="en-US"/>
        </w:rPr>
        <w:t xml:space="preserve">ABSTRACT  </w:t>
      </w:r>
    </w:p>
    <w:p w14:paraId="3A37CBE1" w14:textId="77777777" w:rsidR="000062D1" w:rsidRPr="000062D1" w:rsidRDefault="0055101C" w:rsidP="000062D1">
      <w:pPr>
        <w:jc w:val="both"/>
        <w:rPr>
          <w:rFonts w:ascii="Times New Roman" w:hAnsi="Times New Roman" w:cs="Times New Roman"/>
          <w:sz w:val="24"/>
          <w:szCs w:val="24"/>
        </w:rPr>
      </w:pPr>
      <w:r w:rsidRPr="0055101C">
        <w:rPr>
          <w:rFonts w:ascii="Times New Roman" w:hAnsi="Times New Roman" w:cs="Times New Roman"/>
          <w:sz w:val="24"/>
          <w:szCs w:val="24"/>
        </w:rPr>
        <w:t xml:space="preserve">This study compares the mental toughness of defenders and forwards on the men's inter-university hockey team at LNIPE Gwalior, Madhya Pradesh. Finding out if there are any notable variations between these two groups' levels of mental toughness is the main goal. Eleven players in the age range of 19 to 25 make up the first group, and eleven players in the second group are defenders. The Mental Toughness Questionnaire by Dr. Allan Goldberg, a sports-specific instrument, is used in the study to evaluate athletes' mental toughness on five important subscales: rebound ability, pressure handling, confidence, motivation, and focus. </w:t>
      </w:r>
      <w:r w:rsidR="000062D1" w:rsidRPr="000062D1">
        <w:rPr>
          <w:rFonts w:ascii="Times New Roman" w:hAnsi="Times New Roman" w:cs="Times New Roman"/>
          <w:sz w:val="24"/>
          <w:szCs w:val="24"/>
        </w:rPr>
        <w:t>There are six True/False dichotomous questions on each subscale. Higher scores indicate stronger mental toughness. The scoring system runs from 0 to 30. Strong mental toughness is indicated by a score of 26–30, intermediate levels are suggested by a score of 23–25, and a score of less than 22 shows the need for additional mental training.</w:t>
      </w:r>
    </w:p>
    <w:p w14:paraId="3F60DB74" w14:textId="099548DD" w:rsidR="00CD0589" w:rsidRPr="00994BF8" w:rsidRDefault="00994BF8" w:rsidP="00CD0589">
      <w:pPr>
        <w:rPr>
          <w:rFonts w:ascii="Times New Roman" w:hAnsi="Times New Roman" w:cs="Times New Roman"/>
          <w:b/>
          <w:bCs/>
          <w:sz w:val="24"/>
          <w:szCs w:val="24"/>
          <w:lang w:val="en-US"/>
        </w:rPr>
      </w:pPr>
      <w:r w:rsidRPr="00994BF8">
        <w:rPr>
          <w:rFonts w:ascii="Times New Roman" w:hAnsi="Times New Roman" w:cs="Times New Roman"/>
          <w:b/>
          <w:bCs/>
          <w:sz w:val="24"/>
          <w:szCs w:val="24"/>
          <w:lang w:val="en-US"/>
        </w:rPr>
        <w:t>INTRODUCTION</w:t>
      </w:r>
    </w:p>
    <w:p w14:paraId="6B9AAF5E" w14:textId="77777777" w:rsidR="003F0FAC" w:rsidRPr="003F0FAC" w:rsidRDefault="003F0FAC" w:rsidP="005F6F65">
      <w:pPr>
        <w:jc w:val="both"/>
        <w:rPr>
          <w:rFonts w:ascii="Times New Roman" w:hAnsi="Times New Roman" w:cs="Times New Roman"/>
          <w:sz w:val="24"/>
          <w:szCs w:val="24"/>
        </w:rPr>
      </w:pPr>
      <w:r w:rsidRPr="003F0FAC">
        <w:rPr>
          <w:rFonts w:ascii="Times New Roman" w:hAnsi="Times New Roman" w:cs="Times New Roman"/>
          <w:sz w:val="24"/>
          <w:szCs w:val="24"/>
        </w:rPr>
        <w:t>People have always pushed the limits of what is possible in an effort to learn new things. Physical activity has always been an essential component of human life, whether it be for competition, leisure, or survival, even in the earliest civilizations. All movement, from simple hand gestures to team sports, is fundamental to our long-standing relationship with physical education. Physical education improves life quality and fosters overall health via a variety of games, sports, and leisure pursuits.</w:t>
      </w:r>
    </w:p>
    <w:p w14:paraId="6C4ECD57" w14:textId="41F357BE" w:rsidR="00070F52" w:rsidRPr="00070F52" w:rsidRDefault="00070F52" w:rsidP="005F6F65">
      <w:pPr>
        <w:jc w:val="both"/>
        <w:rPr>
          <w:rFonts w:ascii="Times New Roman" w:hAnsi="Times New Roman" w:cs="Times New Roman"/>
          <w:sz w:val="24"/>
          <w:szCs w:val="24"/>
        </w:rPr>
      </w:pPr>
      <w:r w:rsidRPr="00070F52">
        <w:rPr>
          <w:rFonts w:ascii="Times New Roman" w:hAnsi="Times New Roman" w:cs="Times New Roman"/>
          <w:sz w:val="24"/>
          <w:szCs w:val="24"/>
        </w:rPr>
        <w:t xml:space="preserve">The origins of field hockey, a historically rich sport, can be found in old wall drawings. After centuries of development, it received official recognition in the US in 1901. Field hockey is a fast-paced game played on surfaces like grass, artificial turf, or synthetic fields with 11 players on each side, including a goalie. The game requires high-level abilities, strategy, and quick decision-making. Hockey is renowned in India, particularly because of its </w:t>
      </w:r>
      <w:r w:rsidR="005F6F65" w:rsidRPr="00070F52">
        <w:rPr>
          <w:rFonts w:ascii="Times New Roman" w:hAnsi="Times New Roman" w:cs="Times New Roman"/>
          <w:sz w:val="24"/>
          <w:szCs w:val="24"/>
        </w:rPr>
        <w:t>eight-gold</w:t>
      </w:r>
      <w:r w:rsidRPr="00070F52">
        <w:rPr>
          <w:rFonts w:ascii="Times New Roman" w:hAnsi="Times New Roman" w:cs="Times New Roman"/>
          <w:sz w:val="24"/>
          <w:szCs w:val="24"/>
        </w:rPr>
        <w:t xml:space="preserve"> medal winning run at the Olympics from 1928 to 1980. A player's ability to handle stress, injuries, and the intense atmosphere of professional matches requires mental toughness in addition to athletic prowess.</w:t>
      </w:r>
    </w:p>
    <w:p w14:paraId="71AE167A" w14:textId="77777777" w:rsidR="00E146D9" w:rsidRPr="00E146D9" w:rsidRDefault="00E146D9" w:rsidP="005F6F65">
      <w:pPr>
        <w:jc w:val="both"/>
        <w:rPr>
          <w:rFonts w:ascii="Times New Roman" w:hAnsi="Times New Roman" w:cs="Times New Roman"/>
          <w:sz w:val="24"/>
          <w:szCs w:val="24"/>
        </w:rPr>
      </w:pPr>
      <w:r w:rsidRPr="00E146D9">
        <w:rPr>
          <w:rFonts w:ascii="Times New Roman" w:hAnsi="Times New Roman" w:cs="Times New Roman"/>
          <w:sz w:val="24"/>
          <w:szCs w:val="24"/>
        </w:rPr>
        <w:t>Athletes that possess mental toughness are able to stay motivated, focused, and confident in the face of difficulty. It is frequently said that mental toughness is the primary factor separating success from failure in athletics. Beyond the field of athletics, mental toughness plays a crucial role in athletes' ability to manage stress, think quickly under duress, and endure through exhaustion or injury. Field hockey players—forwards, defenders, and goalies in particular—need to possess a strong mental toughness because the game's fate is frequently determined by split-second judgments and physical stamina.</w:t>
      </w:r>
    </w:p>
    <w:p w14:paraId="78C00D9A" w14:textId="77777777" w:rsidR="00994BF8" w:rsidRDefault="00994BF8" w:rsidP="00CD0589">
      <w:pPr>
        <w:rPr>
          <w:rFonts w:ascii="Times New Roman" w:hAnsi="Times New Roman" w:cs="Times New Roman"/>
          <w:sz w:val="24"/>
          <w:szCs w:val="24"/>
          <w:lang w:val="en-US"/>
        </w:rPr>
      </w:pPr>
    </w:p>
    <w:p w14:paraId="1E57F33E" w14:textId="77777777" w:rsidR="00994BF8" w:rsidRPr="00CD0589" w:rsidRDefault="00994BF8" w:rsidP="00CD0589">
      <w:pPr>
        <w:rPr>
          <w:rFonts w:ascii="Times New Roman" w:hAnsi="Times New Roman" w:cs="Times New Roman"/>
          <w:sz w:val="24"/>
          <w:szCs w:val="24"/>
          <w:lang w:val="en-US"/>
        </w:rPr>
      </w:pPr>
    </w:p>
    <w:p w14:paraId="3675F820" w14:textId="4F34E4EC" w:rsidR="00CD0589" w:rsidRPr="00994BF8" w:rsidRDefault="00994BF8" w:rsidP="00CD0589">
      <w:pPr>
        <w:rPr>
          <w:rFonts w:ascii="Times New Roman" w:hAnsi="Times New Roman" w:cs="Times New Roman"/>
          <w:b/>
          <w:bCs/>
          <w:sz w:val="24"/>
          <w:szCs w:val="24"/>
          <w:lang w:val="en-US"/>
        </w:rPr>
      </w:pPr>
      <w:r w:rsidRPr="00994BF8">
        <w:rPr>
          <w:rFonts w:ascii="Times New Roman" w:hAnsi="Times New Roman" w:cs="Times New Roman"/>
          <w:b/>
          <w:bCs/>
          <w:sz w:val="24"/>
          <w:szCs w:val="24"/>
          <w:lang w:val="en-US"/>
        </w:rPr>
        <w:t xml:space="preserve">METHODOLOGY </w:t>
      </w:r>
      <w:r w:rsidR="00CD0589" w:rsidRPr="00994BF8">
        <w:rPr>
          <w:rFonts w:ascii="Times New Roman" w:hAnsi="Times New Roman" w:cs="Times New Roman"/>
          <w:b/>
          <w:bCs/>
          <w:sz w:val="24"/>
          <w:szCs w:val="24"/>
          <w:lang w:val="en-US"/>
        </w:rPr>
        <w:t xml:space="preserve"> </w:t>
      </w:r>
    </w:p>
    <w:p w14:paraId="1F38F391" w14:textId="5A534BF8" w:rsidR="005601AE" w:rsidRPr="005601AE" w:rsidRDefault="005601AE" w:rsidP="0012757B">
      <w:pPr>
        <w:jc w:val="both"/>
        <w:rPr>
          <w:rFonts w:ascii="Times New Roman" w:hAnsi="Times New Roman" w:cs="Times New Roman"/>
          <w:sz w:val="24"/>
          <w:szCs w:val="24"/>
        </w:rPr>
      </w:pPr>
      <w:r w:rsidRPr="005601AE">
        <w:rPr>
          <w:rFonts w:ascii="Times New Roman" w:hAnsi="Times New Roman" w:cs="Times New Roman"/>
          <w:sz w:val="24"/>
          <w:szCs w:val="24"/>
        </w:rPr>
        <w:t xml:space="preserve">Twenty-two male intercollegiate hockey players from LNIPE, Gwalior participated in this study. Eleven strikers and eleven defenders, ages 19 to 25, were included in the study. Using quota sampling, participants were chosen. The mental toughness questionnaire created by Dr. Allan Goldberg (2014) was used to test the mental toughness of both groups during data collection at LNIPE, Gwalior. Five subscales are included in the questionnaire: motivation, pressure managing, confidence, concentration, and rebound ability. Six True/False questions are used to evaluate each subscale, with one point awarded for each right answer. The data were </w:t>
      </w:r>
      <w:r w:rsidRPr="005601AE">
        <w:rPr>
          <w:rFonts w:ascii="Times New Roman" w:hAnsi="Times New Roman" w:cs="Times New Roman"/>
          <w:sz w:val="24"/>
          <w:szCs w:val="24"/>
        </w:rPr>
        <w:t>analysed</w:t>
      </w:r>
      <w:r w:rsidRPr="005601AE">
        <w:rPr>
          <w:rFonts w:ascii="Times New Roman" w:hAnsi="Times New Roman" w:cs="Times New Roman"/>
          <w:sz w:val="24"/>
          <w:szCs w:val="24"/>
        </w:rPr>
        <w:t xml:space="preserve"> using an independent t-test with a significance threshold of 0.05.</w:t>
      </w:r>
    </w:p>
    <w:p w14:paraId="4C840C32" w14:textId="77777777" w:rsidR="00CD0589" w:rsidRPr="00CD0589" w:rsidRDefault="00CD0589" w:rsidP="00CD0589">
      <w:pPr>
        <w:rPr>
          <w:rFonts w:ascii="Times New Roman" w:hAnsi="Times New Roman" w:cs="Times New Roman"/>
          <w:sz w:val="24"/>
          <w:szCs w:val="24"/>
          <w:lang w:val="en-US"/>
        </w:rPr>
      </w:pPr>
    </w:p>
    <w:p w14:paraId="00D4C4B7" w14:textId="1A61B860" w:rsidR="00CD0589" w:rsidRPr="00994BF8" w:rsidRDefault="00994BF8" w:rsidP="00CD0589">
      <w:pPr>
        <w:rPr>
          <w:rFonts w:ascii="Times New Roman" w:hAnsi="Times New Roman" w:cs="Times New Roman"/>
          <w:b/>
          <w:bCs/>
          <w:sz w:val="24"/>
          <w:szCs w:val="24"/>
          <w:lang w:val="en-US"/>
        </w:rPr>
      </w:pPr>
      <w:r w:rsidRPr="00994BF8">
        <w:rPr>
          <w:rFonts w:ascii="Times New Roman" w:hAnsi="Times New Roman" w:cs="Times New Roman"/>
          <w:b/>
          <w:bCs/>
          <w:sz w:val="24"/>
          <w:szCs w:val="24"/>
          <w:lang w:val="en-US"/>
        </w:rPr>
        <w:t>RESULTS</w:t>
      </w:r>
    </w:p>
    <w:p w14:paraId="7D8B5F31" w14:textId="77777777" w:rsidR="00CD0589" w:rsidRPr="00CD0589" w:rsidRDefault="00CD0589" w:rsidP="00CD0589">
      <w:pPr>
        <w:rPr>
          <w:rFonts w:ascii="Times New Roman" w:hAnsi="Times New Roman" w:cs="Times New Roman"/>
          <w:sz w:val="24"/>
          <w:szCs w:val="24"/>
          <w:lang w:val="en-US"/>
        </w:rPr>
      </w:pPr>
    </w:p>
    <w:p w14:paraId="4A1E1A87" w14:textId="4A90E713" w:rsidR="00CD0589" w:rsidRDefault="00CD0589" w:rsidP="00CD0589">
      <w:pPr>
        <w:rPr>
          <w:rFonts w:ascii="Times New Roman" w:hAnsi="Times New Roman" w:cs="Times New Roman"/>
          <w:sz w:val="24"/>
          <w:szCs w:val="24"/>
          <w:lang w:val="en-US"/>
        </w:rPr>
      </w:pPr>
      <w:r w:rsidRPr="00CD0589">
        <w:rPr>
          <w:rFonts w:ascii="Times New Roman" w:hAnsi="Times New Roman" w:cs="Times New Roman"/>
          <w:sz w:val="24"/>
          <w:szCs w:val="24"/>
          <w:lang w:val="en-US"/>
        </w:rPr>
        <w:t>Table 1: Mental Toughness Variables Comparison Between Forwards and Defender</w:t>
      </w:r>
    </w:p>
    <w:tbl>
      <w:tblPr>
        <w:tblStyle w:val="TableGridLight"/>
        <w:tblW w:w="0" w:type="auto"/>
        <w:tblLook w:val="04A0" w:firstRow="1" w:lastRow="0" w:firstColumn="1" w:lastColumn="0" w:noHBand="0" w:noVBand="1"/>
      </w:tblPr>
      <w:tblGrid>
        <w:gridCol w:w="8435"/>
      </w:tblGrid>
      <w:tr w:rsidR="00935793" w14:paraId="2C18A3D9" w14:textId="77777777" w:rsidTr="00942C20">
        <w:tc>
          <w:tcPr>
            <w:tcW w:w="8217" w:type="dxa"/>
          </w:tcPr>
          <w:tbl>
            <w:tblPr>
              <w:tblStyle w:val="PlainTable2"/>
              <w:tblW w:w="0" w:type="auto"/>
              <w:tblLook w:val="04A0" w:firstRow="1" w:lastRow="0" w:firstColumn="1" w:lastColumn="0" w:noHBand="0" w:noVBand="1"/>
            </w:tblPr>
            <w:tblGrid>
              <w:gridCol w:w="8219"/>
            </w:tblGrid>
            <w:tr w:rsidR="00935793" w14:paraId="775FEFB0" w14:textId="77777777" w:rsidTr="00F73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0" w:type="dxa"/>
                </w:tcPr>
                <w:tbl>
                  <w:tblPr>
                    <w:tblStyle w:val="TableGridLight"/>
                    <w:tblW w:w="0" w:type="auto"/>
                    <w:tblLook w:val="04A0" w:firstRow="1" w:lastRow="0" w:firstColumn="1" w:lastColumn="0" w:noHBand="0" w:noVBand="1"/>
                  </w:tblPr>
                  <w:tblGrid>
                    <w:gridCol w:w="7993"/>
                  </w:tblGrid>
                  <w:tr w:rsidR="00935793" w14:paraId="1C269197" w14:textId="77777777" w:rsidTr="00FD1B4A">
                    <w:trPr>
                      <w:trHeight w:val="4393"/>
                    </w:trPr>
                    <w:tc>
                      <w:tcPr>
                        <w:tcW w:w="7993" w:type="dxa"/>
                        <w:tcBorders>
                          <w:bottom w:val="single" w:sz="4" w:space="0" w:color="auto"/>
                        </w:tcBorders>
                      </w:tcPr>
                      <w:tbl>
                        <w:tblPr>
                          <w:tblW w:w="7777" w:type="dxa"/>
                          <w:tblCellSpacing w:w="15" w:type="dxa"/>
                          <w:tblCellMar>
                            <w:top w:w="15" w:type="dxa"/>
                            <w:left w:w="15" w:type="dxa"/>
                            <w:bottom w:w="15" w:type="dxa"/>
                            <w:right w:w="15" w:type="dxa"/>
                          </w:tblCellMar>
                          <w:tblLook w:val="04A0" w:firstRow="1" w:lastRow="0" w:firstColumn="1" w:lastColumn="0" w:noHBand="0" w:noVBand="1"/>
                        </w:tblPr>
                        <w:tblGrid>
                          <w:gridCol w:w="1595"/>
                          <w:gridCol w:w="1057"/>
                          <w:gridCol w:w="302"/>
                          <w:gridCol w:w="657"/>
                          <w:gridCol w:w="1121"/>
                          <w:gridCol w:w="736"/>
                          <w:gridCol w:w="913"/>
                          <w:gridCol w:w="1396"/>
                        </w:tblGrid>
                        <w:tr w:rsidR="00FD1B4A" w:rsidRPr="005C7216" w14:paraId="59482613" w14:textId="77777777" w:rsidTr="00FD1B4A">
                          <w:trPr>
                            <w:trHeight w:val="689"/>
                            <w:tblHeader/>
                            <w:tblCellSpacing w:w="15" w:type="dxa"/>
                          </w:trPr>
                          <w:tc>
                            <w:tcPr>
                              <w:tcW w:w="0" w:type="auto"/>
                              <w:tcBorders>
                                <w:right w:val="single" w:sz="4" w:space="0" w:color="auto"/>
                              </w:tcBorders>
                              <w:vAlign w:val="center"/>
                              <w:hideMark/>
                            </w:tcPr>
                            <w:p w14:paraId="60C3BE57" w14:textId="77777777" w:rsidR="00935793" w:rsidRPr="005C7216" w:rsidRDefault="00935793" w:rsidP="00F732EA">
                              <w:pPr>
                                <w:rPr>
                                  <w:rFonts w:ascii="Times New Roman" w:hAnsi="Times New Roman" w:cs="Times New Roman"/>
                                  <w:b/>
                                  <w:bCs/>
                                  <w:sz w:val="24"/>
                                  <w:szCs w:val="24"/>
                                </w:rPr>
                              </w:pPr>
                              <w:r w:rsidRPr="005C7216">
                                <w:rPr>
                                  <w:rFonts w:ascii="Times New Roman" w:hAnsi="Times New Roman" w:cs="Times New Roman"/>
                                  <w:b/>
                                  <w:bCs/>
                                  <w:sz w:val="24"/>
                                  <w:szCs w:val="24"/>
                                </w:rPr>
                                <w:t>Variable</w:t>
                              </w:r>
                            </w:p>
                          </w:tc>
                          <w:tc>
                            <w:tcPr>
                              <w:tcW w:w="0" w:type="auto"/>
                              <w:tcBorders>
                                <w:right w:val="single" w:sz="4" w:space="0" w:color="auto"/>
                              </w:tcBorders>
                              <w:vAlign w:val="center"/>
                              <w:hideMark/>
                            </w:tcPr>
                            <w:p w14:paraId="506A0B3D" w14:textId="77777777" w:rsidR="00935793" w:rsidRPr="005C7216" w:rsidRDefault="00935793" w:rsidP="00F732EA">
                              <w:pPr>
                                <w:rPr>
                                  <w:rFonts w:ascii="Times New Roman" w:hAnsi="Times New Roman" w:cs="Times New Roman"/>
                                  <w:b/>
                                  <w:bCs/>
                                  <w:sz w:val="24"/>
                                  <w:szCs w:val="24"/>
                                </w:rPr>
                              </w:pPr>
                              <w:r w:rsidRPr="005C7216">
                                <w:rPr>
                                  <w:rFonts w:ascii="Times New Roman" w:hAnsi="Times New Roman" w:cs="Times New Roman"/>
                                  <w:b/>
                                  <w:bCs/>
                                  <w:sz w:val="24"/>
                                  <w:szCs w:val="24"/>
                                </w:rPr>
                                <w:t>Group</w:t>
                              </w:r>
                            </w:p>
                          </w:tc>
                          <w:tc>
                            <w:tcPr>
                              <w:tcW w:w="0" w:type="auto"/>
                              <w:tcBorders>
                                <w:right w:val="single" w:sz="4" w:space="0" w:color="auto"/>
                              </w:tcBorders>
                              <w:vAlign w:val="center"/>
                              <w:hideMark/>
                            </w:tcPr>
                            <w:p w14:paraId="0F3DF1C3" w14:textId="77777777" w:rsidR="00935793" w:rsidRPr="005C7216" w:rsidRDefault="00935793" w:rsidP="00F732EA">
                              <w:pPr>
                                <w:rPr>
                                  <w:rFonts w:ascii="Times New Roman" w:hAnsi="Times New Roman" w:cs="Times New Roman"/>
                                  <w:b/>
                                  <w:bCs/>
                                  <w:sz w:val="24"/>
                                  <w:szCs w:val="24"/>
                                </w:rPr>
                              </w:pPr>
                              <w:r w:rsidRPr="005C7216">
                                <w:rPr>
                                  <w:rFonts w:ascii="Times New Roman" w:hAnsi="Times New Roman" w:cs="Times New Roman"/>
                                  <w:b/>
                                  <w:bCs/>
                                  <w:sz w:val="24"/>
                                  <w:szCs w:val="24"/>
                                </w:rPr>
                                <w:t>N</w:t>
                              </w:r>
                            </w:p>
                          </w:tc>
                          <w:tc>
                            <w:tcPr>
                              <w:tcW w:w="0" w:type="auto"/>
                              <w:tcBorders>
                                <w:right w:val="single" w:sz="4" w:space="0" w:color="auto"/>
                              </w:tcBorders>
                              <w:vAlign w:val="center"/>
                              <w:hideMark/>
                            </w:tcPr>
                            <w:p w14:paraId="56708E12" w14:textId="77777777" w:rsidR="00935793" w:rsidRPr="005C7216" w:rsidRDefault="00935793" w:rsidP="00F732EA">
                              <w:pPr>
                                <w:rPr>
                                  <w:rFonts w:ascii="Times New Roman" w:hAnsi="Times New Roman" w:cs="Times New Roman"/>
                                  <w:b/>
                                  <w:bCs/>
                                  <w:sz w:val="24"/>
                                  <w:szCs w:val="24"/>
                                </w:rPr>
                              </w:pPr>
                              <w:r w:rsidRPr="005C7216">
                                <w:rPr>
                                  <w:rFonts w:ascii="Times New Roman" w:hAnsi="Times New Roman" w:cs="Times New Roman"/>
                                  <w:b/>
                                  <w:bCs/>
                                  <w:sz w:val="24"/>
                                  <w:szCs w:val="24"/>
                                </w:rPr>
                                <w:t>Mean</w:t>
                              </w:r>
                            </w:p>
                          </w:tc>
                          <w:tc>
                            <w:tcPr>
                              <w:tcW w:w="0" w:type="auto"/>
                              <w:vAlign w:val="center"/>
                              <w:hideMark/>
                            </w:tcPr>
                            <w:p w14:paraId="37072646" w14:textId="77777777" w:rsidR="00935793" w:rsidRPr="005C7216" w:rsidRDefault="00935793" w:rsidP="00F732EA">
                              <w:pPr>
                                <w:rPr>
                                  <w:rFonts w:ascii="Times New Roman" w:hAnsi="Times New Roman" w:cs="Times New Roman"/>
                                  <w:b/>
                                  <w:bCs/>
                                  <w:sz w:val="24"/>
                                  <w:szCs w:val="24"/>
                                </w:rPr>
                              </w:pPr>
                              <w:r w:rsidRPr="005C7216">
                                <w:rPr>
                                  <w:rFonts w:ascii="Times New Roman" w:hAnsi="Times New Roman" w:cs="Times New Roman"/>
                                  <w:b/>
                                  <w:bCs/>
                                  <w:sz w:val="24"/>
                                  <w:szCs w:val="24"/>
                                </w:rPr>
                                <w:t>Standard Deviation</w:t>
                              </w:r>
                            </w:p>
                          </w:tc>
                          <w:tc>
                            <w:tcPr>
                              <w:tcW w:w="0" w:type="auto"/>
                              <w:tcBorders>
                                <w:left w:val="single" w:sz="4" w:space="0" w:color="auto"/>
                              </w:tcBorders>
                              <w:vAlign w:val="center"/>
                              <w:hideMark/>
                            </w:tcPr>
                            <w:p w14:paraId="28542E30" w14:textId="77777777" w:rsidR="00935793" w:rsidRPr="005C7216" w:rsidRDefault="00935793" w:rsidP="00F732EA">
                              <w:pPr>
                                <w:rPr>
                                  <w:rFonts w:ascii="Times New Roman" w:hAnsi="Times New Roman" w:cs="Times New Roman"/>
                                  <w:b/>
                                  <w:bCs/>
                                  <w:sz w:val="24"/>
                                  <w:szCs w:val="24"/>
                                </w:rPr>
                              </w:pPr>
                              <w:r w:rsidRPr="005C7216">
                                <w:rPr>
                                  <w:rFonts w:ascii="Times New Roman" w:hAnsi="Times New Roman" w:cs="Times New Roman"/>
                                  <w:b/>
                                  <w:bCs/>
                                  <w:sz w:val="24"/>
                                  <w:szCs w:val="24"/>
                                </w:rPr>
                                <w:t>t-value</w:t>
                              </w:r>
                            </w:p>
                          </w:tc>
                          <w:tc>
                            <w:tcPr>
                              <w:tcW w:w="0" w:type="auto"/>
                              <w:tcBorders>
                                <w:left w:val="single" w:sz="4" w:space="0" w:color="auto"/>
                              </w:tcBorders>
                              <w:vAlign w:val="center"/>
                              <w:hideMark/>
                            </w:tcPr>
                            <w:p w14:paraId="407CAA59" w14:textId="77777777" w:rsidR="00935793" w:rsidRPr="005C7216" w:rsidRDefault="00935793" w:rsidP="00F732EA">
                              <w:pPr>
                                <w:rPr>
                                  <w:rFonts w:ascii="Times New Roman" w:hAnsi="Times New Roman" w:cs="Times New Roman"/>
                                  <w:b/>
                                  <w:bCs/>
                                  <w:sz w:val="24"/>
                                  <w:szCs w:val="24"/>
                                </w:rPr>
                              </w:pPr>
                              <w:r w:rsidRPr="005C7216">
                                <w:rPr>
                                  <w:rFonts w:ascii="Times New Roman" w:hAnsi="Times New Roman" w:cs="Times New Roman"/>
                                  <w:b/>
                                  <w:bCs/>
                                  <w:sz w:val="24"/>
                                  <w:szCs w:val="24"/>
                                </w:rPr>
                                <w:t>Critical t-value</w:t>
                              </w:r>
                            </w:p>
                          </w:tc>
                          <w:tc>
                            <w:tcPr>
                              <w:tcW w:w="0" w:type="auto"/>
                              <w:tcBorders>
                                <w:left w:val="single" w:sz="4" w:space="0" w:color="auto"/>
                              </w:tcBorders>
                              <w:vAlign w:val="center"/>
                              <w:hideMark/>
                            </w:tcPr>
                            <w:p w14:paraId="099FFA0B" w14:textId="77777777" w:rsidR="00935793" w:rsidRPr="005C7216" w:rsidRDefault="00935793" w:rsidP="00F732EA">
                              <w:pPr>
                                <w:rPr>
                                  <w:rFonts w:ascii="Times New Roman" w:hAnsi="Times New Roman" w:cs="Times New Roman"/>
                                  <w:b/>
                                  <w:bCs/>
                                  <w:sz w:val="24"/>
                                  <w:szCs w:val="24"/>
                                </w:rPr>
                              </w:pPr>
                              <w:r w:rsidRPr="005C7216">
                                <w:rPr>
                                  <w:rFonts w:ascii="Times New Roman" w:hAnsi="Times New Roman" w:cs="Times New Roman"/>
                                  <w:b/>
                                  <w:bCs/>
                                  <w:sz w:val="24"/>
                                  <w:szCs w:val="24"/>
                                </w:rPr>
                                <w:t>Significance (p-value)</w:t>
                              </w:r>
                            </w:p>
                          </w:tc>
                        </w:tr>
                        <w:tr w:rsidR="00FD1B4A" w:rsidRPr="005C7216" w14:paraId="280AD735" w14:textId="77777777" w:rsidTr="00FD1B4A">
                          <w:trPr>
                            <w:trHeight w:val="689"/>
                            <w:tblCellSpacing w:w="15" w:type="dxa"/>
                          </w:trPr>
                          <w:tc>
                            <w:tcPr>
                              <w:tcW w:w="0" w:type="auto"/>
                              <w:tcBorders>
                                <w:top w:val="single" w:sz="4" w:space="0" w:color="auto"/>
                                <w:right w:val="single" w:sz="4" w:space="0" w:color="auto"/>
                              </w:tcBorders>
                              <w:vAlign w:val="center"/>
                              <w:hideMark/>
                            </w:tcPr>
                            <w:p w14:paraId="3FE99BF1"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b/>
                                  <w:bCs/>
                                  <w:sz w:val="24"/>
                                  <w:szCs w:val="24"/>
                                </w:rPr>
                                <w:t>Rebound Ability</w:t>
                              </w:r>
                            </w:p>
                          </w:tc>
                          <w:tc>
                            <w:tcPr>
                              <w:tcW w:w="0" w:type="auto"/>
                              <w:tcBorders>
                                <w:top w:val="single" w:sz="4" w:space="0" w:color="auto"/>
                                <w:right w:val="single" w:sz="4" w:space="0" w:color="auto"/>
                              </w:tcBorders>
                              <w:vAlign w:val="center"/>
                              <w:hideMark/>
                            </w:tcPr>
                            <w:p w14:paraId="00103BC1"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Forwards</w:t>
                              </w:r>
                            </w:p>
                          </w:tc>
                          <w:tc>
                            <w:tcPr>
                              <w:tcW w:w="0" w:type="auto"/>
                              <w:tcBorders>
                                <w:top w:val="single" w:sz="4" w:space="0" w:color="auto"/>
                                <w:right w:val="single" w:sz="4" w:space="0" w:color="auto"/>
                              </w:tcBorders>
                              <w:vAlign w:val="center"/>
                              <w:hideMark/>
                            </w:tcPr>
                            <w:p w14:paraId="09D10E5E"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11</w:t>
                              </w:r>
                            </w:p>
                          </w:tc>
                          <w:tc>
                            <w:tcPr>
                              <w:tcW w:w="0" w:type="auto"/>
                              <w:tcBorders>
                                <w:top w:val="single" w:sz="4" w:space="0" w:color="auto"/>
                                <w:right w:val="single" w:sz="4" w:space="0" w:color="auto"/>
                              </w:tcBorders>
                              <w:vAlign w:val="center"/>
                              <w:hideMark/>
                            </w:tcPr>
                            <w:p w14:paraId="3420E8EB"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3.2</w:t>
                              </w:r>
                            </w:p>
                          </w:tc>
                          <w:tc>
                            <w:tcPr>
                              <w:tcW w:w="0" w:type="auto"/>
                              <w:tcBorders>
                                <w:top w:val="single" w:sz="4" w:space="0" w:color="auto"/>
                              </w:tcBorders>
                              <w:vAlign w:val="center"/>
                              <w:hideMark/>
                            </w:tcPr>
                            <w:p w14:paraId="6D944C6A"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1.2720</w:t>
                              </w:r>
                            </w:p>
                          </w:tc>
                          <w:tc>
                            <w:tcPr>
                              <w:tcW w:w="0" w:type="auto"/>
                              <w:tcBorders>
                                <w:top w:val="single" w:sz="4" w:space="0" w:color="auto"/>
                                <w:left w:val="single" w:sz="4" w:space="0" w:color="auto"/>
                              </w:tcBorders>
                              <w:vAlign w:val="center"/>
                              <w:hideMark/>
                            </w:tcPr>
                            <w:p w14:paraId="6D446C5A"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0.6060</w:t>
                              </w:r>
                            </w:p>
                          </w:tc>
                          <w:tc>
                            <w:tcPr>
                              <w:tcW w:w="0" w:type="auto"/>
                              <w:tcBorders>
                                <w:top w:val="single" w:sz="4" w:space="0" w:color="auto"/>
                                <w:left w:val="single" w:sz="4" w:space="0" w:color="auto"/>
                              </w:tcBorders>
                              <w:vAlign w:val="center"/>
                              <w:hideMark/>
                            </w:tcPr>
                            <w:p w14:paraId="74FD9D9F"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2.1009</w:t>
                              </w:r>
                            </w:p>
                          </w:tc>
                          <w:tc>
                            <w:tcPr>
                              <w:tcW w:w="0" w:type="auto"/>
                              <w:tcBorders>
                                <w:top w:val="single" w:sz="4" w:space="0" w:color="auto"/>
                                <w:left w:val="single" w:sz="4" w:space="0" w:color="auto"/>
                              </w:tcBorders>
                              <w:vAlign w:val="center"/>
                              <w:hideMark/>
                            </w:tcPr>
                            <w:p w14:paraId="4094D060"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Non-Significant</w:t>
                              </w:r>
                            </w:p>
                          </w:tc>
                        </w:tr>
                        <w:tr w:rsidR="00FD1B4A" w:rsidRPr="005C7216" w14:paraId="5541C496" w14:textId="77777777" w:rsidTr="00FD1B4A">
                          <w:trPr>
                            <w:trHeight w:val="408"/>
                            <w:tblCellSpacing w:w="15" w:type="dxa"/>
                          </w:trPr>
                          <w:tc>
                            <w:tcPr>
                              <w:tcW w:w="0" w:type="auto"/>
                              <w:tcBorders>
                                <w:bottom w:val="single" w:sz="4" w:space="0" w:color="auto"/>
                                <w:right w:val="single" w:sz="4" w:space="0" w:color="auto"/>
                              </w:tcBorders>
                              <w:vAlign w:val="center"/>
                              <w:hideMark/>
                            </w:tcPr>
                            <w:p w14:paraId="42EEC80C" w14:textId="77777777" w:rsidR="00935793" w:rsidRPr="005C7216" w:rsidRDefault="00935793" w:rsidP="00F732EA">
                              <w:pPr>
                                <w:rPr>
                                  <w:rFonts w:ascii="Times New Roman" w:hAnsi="Times New Roman" w:cs="Times New Roman"/>
                                  <w:sz w:val="24"/>
                                  <w:szCs w:val="24"/>
                                </w:rPr>
                              </w:pPr>
                            </w:p>
                          </w:tc>
                          <w:tc>
                            <w:tcPr>
                              <w:tcW w:w="0" w:type="auto"/>
                              <w:tcBorders>
                                <w:top w:val="single" w:sz="4" w:space="0" w:color="auto"/>
                                <w:bottom w:val="single" w:sz="4" w:space="0" w:color="auto"/>
                                <w:right w:val="single" w:sz="4" w:space="0" w:color="auto"/>
                              </w:tcBorders>
                              <w:vAlign w:val="center"/>
                              <w:hideMark/>
                            </w:tcPr>
                            <w:p w14:paraId="5D7D4C40"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Defenders</w:t>
                              </w:r>
                            </w:p>
                          </w:tc>
                          <w:tc>
                            <w:tcPr>
                              <w:tcW w:w="0" w:type="auto"/>
                              <w:tcBorders>
                                <w:top w:val="single" w:sz="4" w:space="0" w:color="auto"/>
                                <w:bottom w:val="single" w:sz="4" w:space="0" w:color="auto"/>
                                <w:right w:val="single" w:sz="4" w:space="0" w:color="auto"/>
                              </w:tcBorders>
                              <w:vAlign w:val="center"/>
                              <w:hideMark/>
                            </w:tcPr>
                            <w:p w14:paraId="2AE30F90"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11</w:t>
                              </w:r>
                            </w:p>
                          </w:tc>
                          <w:tc>
                            <w:tcPr>
                              <w:tcW w:w="0" w:type="auto"/>
                              <w:tcBorders>
                                <w:top w:val="single" w:sz="4" w:space="0" w:color="auto"/>
                                <w:bottom w:val="single" w:sz="4" w:space="0" w:color="auto"/>
                                <w:right w:val="single" w:sz="4" w:space="0" w:color="auto"/>
                              </w:tcBorders>
                              <w:vAlign w:val="center"/>
                              <w:hideMark/>
                            </w:tcPr>
                            <w:p w14:paraId="63D8D8C2"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2.8</w:t>
                              </w:r>
                            </w:p>
                          </w:tc>
                          <w:tc>
                            <w:tcPr>
                              <w:tcW w:w="0" w:type="auto"/>
                              <w:tcBorders>
                                <w:top w:val="single" w:sz="4" w:space="0" w:color="auto"/>
                                <w:bottom w:val="single" w:sz="4" w:space="0" w:color="auto"/>
                              </w:tcBorders>
                              <w:vAlign w:val="center"/>
                              <w:hideMark/>
                            </w:tcPr>
                            <w:p w14:paraId="11007554"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1.5782</w:t>
                              </w:r>
                            </w:p>
                          </w:tc>
                          <w:tc>
                            <w:tcPr>
                              <w:tcW w:w="0" w:type="auto"/>
                              <w:tcBorders>
                                <w:left w:val="single" w:sz="4" w:space="0" w:color="auto"/>
                                <w:bottom w:val="single" w:sz="4" w:space="0" w:color="auto"/>
                              </w:tcBorders>
                              <w:vAlign w:val="center"/>
                              <w:hideMark/>
                            </w:tcPr>
                            <w:p w14:paraId="59A1CBBD" w14:textId="77777777" w:rsidR="00935793" w:rsidRPr="005C7216" w:rsidRDefault="00935793" w:rsidP="00F732EA">
                              <w:pPr>
                                <w:rPr>
                                  <w:rFonts w:ascii="Times New Roman" w:hAnsi="Times New Roman" w:cs="Times New Roman"/>
                                  <w:sz w:val="24"/>
                                  <w:szCs w:val="24"/>
                                </w:rPr>
                              </w:pPr>
                            </w:p>
                          </w:tc>
                          <w:tc>
                            <w:tcPr>
                              <w:tcW w:w="0" w:type="auto"/>
                              <w:tcBorders>
                                <w:left w:val="single" w:sz="4" w:space="0" w:color="auto"/>
                                <w:bottom w:val="single" w:sz="4" w:space="0" w:color="auto"/>
                              </w:tcBorders>
                              <w:vAlign w:val="center"/>
                              <w:hideMark/>
                            </w:tcPr>
                            <w:p w14:paraId="2F1202A7" w14:textId="77777777" w:rsidR="00935793" w:rsidRPr="005C7216" w:rsidRDefault="00935793" w:rsidP="00F732EA">
                              <w:pPr>
                                <w:rPr>
                                  <w:rFonts w:ascii="Times New Roman" w:hAnsi="Times New Roman" w:cs="Times New Roman"/>
                                  <w:sz w:val="24"/>
                                  <w:szCs w:val="24"/>
                                </w:rPr>
                              </w:pPr>
                            </w:p>
                          </w:tc>
                          <w:tc>
                            <w:tcPr>
                              <w:tcW w:w="0" w:type="auto"/>
                              <w:tcBorders>
                                <w:left w:val="single" w:sz="4" w:space="0" w:color="auto"/>
                                <w:bottom w:val="single" w:sz="4" w:space="0" w:color="auto"/>
                              </w:tcBorders>
                              <w:vAlign w:val="center"/>
                              <w:hideMark/>
                            </w:tcPr>
                            <w:p w14:paraId="60FC9735" w14:textId="77777777" w:rsidR="00935793" w:rsidRPr="005C7216" w:rsidRDefault="00935793" w:rsidP="00F732EA">
                              <w:pPr>
                                <w:rPr>
                                  <w:rFonts w:ascii="Times New Roman" w:hAnsi="Times New Roman" w:cs="Times New Roman"/>
                                  <w:sz w:val="24"/>
                                  <w:szCs w:val="24"/>
                                </w:rPr>
                              </w:pPr>
                            </w:p>
                          </w:tc>
                        </w:tr>
                        <w:tr w:rsidR="00FD1B4A" w:rsidRPr="005C7216" w14:paraId="21AB06CC" w14:textId="77777777" w:rsidTr="00FD1B4A">
                          <w:trPr>
                            <w:trHeight w:val="689"/>
                            <w:tblCellSpacing w:w="15" w:type="dxa"/>
                          </w:trPr>
                          <w:tc>
                            <w:tcPr>
                              <w:tcW w:w="0" w:type="auto"/>
                              <w:tcBorders>
                                <w:right w:val="single" w:sz="4" w:space="0" w:color="auto"/>
                              </w:tcBorders>
                              <w:vAlign w:val="center"/>
                              <w:hideMark/>
                            </w:tcPr>
                            <w:p w14:paraId="571FA3C1"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b/>
                                  <w:bCs/>
                                  <w:sz w:val="24"/>
                                  <w:szCs w:val="24"/>
                                </w:rPr>
                                <w:t>Pressure Handling</w:t>
                              </w:r>
                            </w:p>
                          </w:tc>
                          <w:tc>
                            <w:tcPr>
                              <w:tcW w:w="0" w:type="auto"/>
                              <w:tcBorders>
                                <w:bottom w:val="single" w:sz="4" w:space="0" w:color="auto"/>
                                <w:right w:val="single" w:sz="4" w:space="0" w:color="auto"/>
                              </w:tcBorders>
                              <w:vAlign w:val="center"/>
                              <w:hideMark/>
                            </w:tcPr>
                            <w:p w14:paraId="73DA0737"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Forwards</w:t>
                              </w:r>
                            </w:p>
                          </w:tc>
                          <w:tc>
                            <w:tcPr>
                              <w:tcW w:w="0" w:type="auto"/>
                              <w:tcBorders>
                                <w:bottom w:val="single" w:sz="4" w:space="0" w:color="auto"/>
                                <w:right w:val="single" w:sz="4" w:space="0" w:color="auto"/>
                              </w:tcBorders>
                              <w:vAlign w:val="center"/>
                              <w:hideMark/>
                            </w:tcPr>
                            <w:p w14:paraId="0E53BC99"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11</w:t>
                              </w:r>
                            </w:p>
                          </w:tc>
                          <w:tc>
                            <w:tcPr>
                              <w:tcW w:w="0" w:type="auto"/>
                              <w:tcBorders>
                                <w:bottom w:val="single" w:sz="4" w:space="0" w:color="auto"/>
                                <w:right w:val="single" w:sz="4" w:space="0" w:color="auto"/>
                              </w:tcBorders>
                              <w:vAlign w:val="center"/>
                              <w:hideMark/>
                            </w:tcPr>
                            <w:p w14:paraId="3D76F78C"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3.0</w:t>
                              </w:r>
                            </w:p>
                          </w:tc>
                          <w:tc>
                            <w:tcPr>
                              <w:tcW w:w="0" w:type="auto"/>
                              <w:tcBorders>
                                <w:bottom w:val="single" w:sz="4" w:space="0" w:color="auto"/>
                              </w:tcBorders>
                              <w:vAlign w:val="center"/>
                              <w:hideMark/>
                            </w:tcPr>
                            <w:p w14:paraId="18039805"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0.7006</w:t>
                              </w:r>
                            </w:p>
                          </w:tc>
                          <w:tc>
                            <w:tcPr>
                              <w:tcW w:w="0" w:type="auto"/>
                              <w:tcBorders>
                                <w:left w:val="single" w:sz="4" w:space="0" w:color="auto"/>
                              </w:tcBorders>
                              <w:vAlign w:val="center"/>
                              <w:hideMark/>
                            </w:tcPr>
                            <w:p w14:paraId="5CEBA958"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-1.9636</w:t>
                              </w:r>
                            </w:p>
                          </w:tc>
                          <w:tc>
                            <w:tcPr>
                              <w:tcW w:w="0" w:type="auto"/>
                              <w:tcBorders>
                                <w:left w:val="single" w:sz="4" w:space="0" w:color="auto"/>
                              </w:tcBorders>
                              <w:vAlign w:val="center"/>
                              <w:hideMark/>
                            </w:tcPr>
                            <w:p w14:paraId="57CC7147"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2.1009</w:t>
                              </w:r>
                            </w:p>
                          </w:tc>
                          <w:tc>
                            <w:tcPr>
                              <w:tcW w:w="0" w:type="auto"/>
                              <w:tcBorders>
                                <w:left w:val="single" w:sz="4" w:space="0" w:color="auto"/>
                              </w:tcBorders>
                              <w:vAlign w:val="center"/>
                              <w:hideMark/>
                            </w:tcPr>
                            <w:p w14:paraId="5922A89A"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Non-Significant</w:t>
                              </w:r>
                            </w:p>
                          </w:tc>
                        </w:tr>
                        <w:tr w:rsidR="00FD1B4A" w:rsidRPr="005C7216" w14:paraId="2112AE7B" w14:textId="77777777" w:rsidTr="00FD1B4A">
                          <w:trPr>
                            <w:trHeight w:val="417"/>
                            <w:tblCellSpacing w:w="15" w:type="dxa"/>
                          </w:trPr>
                          <w:tc>
                            <w:tcPr>
                              <w:tcW w:w="0" w:type="auto"/>
                              <w:tcBorders>
                                <w:bottom w:val="single" w:sz="4" w:space="0" w:color="auto"/>
                                <w:right w:val="single" w:sz="4" w:space="0" w:color="auto"/>
                              </w:tcBorders>
                              <w:vAlign w:val="center"/>
                              <w:hideMark/>
                            </w:tcPr>
                            <w:p w14:paraId="39307456" w14:textId="77777777" w:rsidR="00935793" w:rsidRPr="005C7216" w:rsidRDefault="00935793" w:rsidP="00F732EA">
                              <w:pPr>
                                <w:rPr>
                                  <w:rFonts w:ascii="Times New Roman" w:hAnsi="Times New Roman" w:cs="Times New Roman"/>
                                  <w:sz w:val="24"/>
                                  <w:szCs w:val="24"/>
                                </w:rPr>
                              </w:pPr>
                            </w:p>
                          </w:tc>
                          <w:tc>
                            <w:tcPr>
                              <w:tcW w:w="0" w:type="auto"/>
                              <w:tcBorders>
                                <w:bottom w:val="single" w:sz="4" w:space="0" w:color="auto"/>
                                <w:right w:val="single" w:sz="4" w:space="0" w:color="auto"/>
                              </w:tcBorders>
                              <w:vAlign w:val="center"/>
                              <w:hideMark/>
                            </w:tcPr>
                            <w:p w14:paraId="12EBD1E0"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Defenders</w:t>
                              </w:r>
                            </w:p>
                          </w:tc>
                          <w:tc>
                            <w:tcPr>
                              <w:tcW w:w="0" w:type="auto"/>
                              <w:tcBorders>
                                <w:bottom w:val="single" w:sz="4" w:space="0" w:color="auto"/>
                                <w:right w:val="single" w:sz="4" w:space="0" w:color="auto"/>
                              </w:tcBorders>
                              <w:vAlign w:val="center"/>
                              <w:hideMark/>
                            </w:tcPr>
                            <w:p w14:paraId="7BDF2E8D"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11</w:t>
                              </w:r>
                            </w:p>
                          </w:tc>
                          <w:tc>
                            <w:tcPr>
                              <w:tcW w:w="0" w:type="auto"/>
                              <w:tcBorders>
                                <w:bottom w:val="single" w:sz="4" w:space="0" w:color="auto"/>
                                <w:right w:val="single" w:sz="4" w:space="0" w:color="auto"/>
                              </w:tcBorders>
                              <w:vAlign w:val="center"/>
                              <w:hideMark/>
                            </w:tcPr>
                            <w:p w14:paraId="3C09CF8F"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3.6</w:t>
                              </w:r>
                            </w:p>
                          </w:tc>
                          <w:tc>
                            <w:tcPr>
                              <w:tcW w:w="0" w:type="auto"/>
                              <w:tcBorders>
                                <w:bottom w:val="single" w:sz="4" w:space="0" w:color="auto"/>
                              </w:tcBorders>
                              <w:vAlign w:val="center"/>
                              <w:hideMark/>
                            </w:tcPr>
                            <w:p w14:paraId="5F6C6FFF"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0.6742</w:t>
                              </w:r>
                            </w:p>
                          </w:tc>
                          <w:tc>
                            <w:tcPr>
                              <w:tcW w:w="0" w:type="auto"/>
                              <w:tcBorders>
                                <w:left w:val="single" w:sz="4" w:space="0" w:color="auto"/>
                                <w:bottom w:val="single" w:sz="4" w:space="0" w:color="auto"/>
                              </w:tcBorders>
                              <w:vAlign w:val="center"/>
                              <w:hideMark/>
                            </w:tcPr>
                            <w:p w14:paraId="5E117BAD" w14:textId="77777777" w:rsidR="00935793" w:rsidRPr="005C7216" w:rsidRDefault="00935793" w:rsidP="00F732EA">
                              <w:pPr>
                                <w:rPr>
                                  <w:rFonts w:ascii="Times New Roman" w:hAnsi="Times New Roman" w:cs="Times New Roman"/>
                                  <w:sz w:val="24"/>
                                  <w:szCs w:val="24"/>
                                </w:rPr>
                              </w:pPr>
                            </w:p>
                          </w:tc>
                          <w:tc>
                            <w:tcPr>
                              <w:tcW w:w="0" w:type="auto"/>
                              <w:tcBorders>
                                <w:left w:val="single" w:sz="4" w:space="0" w:color="auto"/>
                                <w:bottom w:val="single" w:sz="4" w:space="0" w:color="auto"/>
                              </w:tcBorders>
                              <w:vAlign w:val="center"/>
                              <w:hideMark/>
                            </w:tcPr>
                            <w:p w14:paraId="5FC28738" w14:textId="77777777" w:rsidR="00935793" w:rsidRPr="005C7216" w:rsidRDefault="00935793" w:rsidP="00F732EA">
                              <w:pPr>
                                <w:rPr>
                                  <w:rFonts w:ascii="Times New Roman" w:hAnsi="Times New Roman" w:cs="Times New Roman"/>
                                  <w:sz w:val="24"/>
                                  <w:szCs w:val="24"/>
                                </w:rPr>
                              </w:pPr>
                            </w:p>
                          </w:tc>
                          <w:tc>
                            <w:tcPr>
                              <w:tcW w:w="0" w:type="auto"/>
                              <w:tcBorders>
                                <w:left w:val="single" w:sz="4" w:space="0" w:color="auto"/>
                                <w:bottom w:val="single" w:sz="4" w:space="0" w:color="auto"/>
                              </w:tcBorders>
                              <w:vAlign w:val="center"/>
                              <w:hideMark/>
                            </w:tcPr>
                            <w:p w14:paraId="44CA5459" w14:textId="77777777" w:rsidR="00935793" w:rsidRPr="005C7216" w:rsidRDefault="00935793" w:rsidP="00F732EA">
                              <w:pPr>
                                <w:rPr>
                                  <w:rFonts w:ascii="Times New Roman" w:hAnsi="Times New Roman" w:cs="Times New Roman"/>
                                  <w:sz w:val="24"/>
                                  <w:szCs w:val="24"/>
                                </w:rPr>
                              </w:pPr>
                            </w:p>
                          </w:tc>
                        </w:tr>
                        <w:tr w:rsidR="00FD1B4A" w:rsidRPr="005C7216" w14:paraId="7B765A6E" w14:textId="77777777" w:rsidTr="00FD1B4A">
                          <w:trPr>
                            <w:trHeight w:val="678"/>
                            <w:tblCellSpacing w:w="15" w:type="dxa"/>
                          </w:trPr>
                          <w:tc>
                            <w:tcPr>
                              <w:tcW w:w="0" w:type="auto"/>
                              <w:tcBorders>
                                <w:right w:val="single" w:sz="4" w:space="0" w:color="auto"/>
                              </w:tcBorders>
                              <w:vAlign w:val="center"/>
                              <w:hideMark/>
                            </w:tcPr>
                            <w:p w14:paraId="64BC577C"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b/>
                                  <w:bCs/>
                                  <w:sz w:val="24"/>
                                  <w:szCs w:val="24"/>
                                </w:rPr>
                                <w:t>Concentration</w:t>
                              </w:r>
                            </w:p>
                          </w:tc>
                          <w:tc>
                            <w:tcPr>
                              <w:tcW w:w="0" w:type="auto"/>
                              <w:tcBorders>
                                <w:right w:val="single" w:sz="4" w:space="0" w:color="auto"/>
                              </w:tcBorders>
                              <w:vAlign w:val="center"/>
                              <w:hideMark/>
                            </w:tcPr>
                            <w:p w14:paraId="28750FBB"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Forwards</w:t>
                              </w:r>
                            </w:p>
                          </w:tc>
                          <w:tc>
                            <w:tcPr>
                              <w:tcW w:w="0" w:type="auto"/>
                              <w:tcBorders>
                                <w:right w:val="single" w:sz="4" w:space="0" w:color="auto"/>
                              </w:tcBorders>
                              <w:vAlign w:val="center"/>
                              <w:hideMark/>
                            </w:tcPr>
                            <w:p w14:paraId="2DE9510D"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11</w:t>
                              </w:r>
                            </w:p>
                          </w:tc>
                          <w:tc>
                            <w:tcPr>
                              <w:tcW w:w="0" w:type="auto"/>
                              <w:tcBorders>
                                <w:right w:val="single" w:sz="4" w:space="0" w:color="auto"/>
                              </w:tcBorders>
                              <w:vAlign w:val="center"/>
                              <w:hideMark/>
                            </w:tcPr>
                            <w:p w14:paraId="6AD72A93"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3.2</w:t>
                              </w:r>
                            </w:p>
                          </w:tc>
                          <w:tc>
                            <w:tcPr>
                              <w:tcW w:w="0" w:type="auto"/>
                              <w:vAlign w:val="center"/>
                              <w:hideMark/>
                            </w:tcPr>
                            <w:p w14:paraId="5B8934D9"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1.2293</w:t>
                              </w:r>
                            </w:p>
                          </w:tc>
                          <w:tc>
                            <w:tcPr>
                              <w:tcW w:w="0" w:type="auto"/>
                              <w:tcBorders>
                                <w:left w:val="single" w:sz="4" w:space="0" w:color="auto"/>
                              </w:tcBorders>
                              <w:vAlign w:val="center"/>
                              <w:hideMark/>
                            </w:tcPr>
                            <w:p w14:paraId="39BD54F4"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0.3162</w:t>
                              </w:r>
                            </w:p>
                          </w:tc>
                          <w:tc>
                            <w:tcPr>
                              <w:tcW w:w="0" w:type="auto"/>
                              <w:tcBorders>
                                <w:left w:val="single" w:sz="4" w:space="0" w:color="auto"/>
                              </w:tcBorders>
                              <w:vAlign w:val="center"/>
                              <w:hideMark/>
                            </w:tcPr>
                            <w:p w14:paraId="2F70F29A"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2.1009</w:t>
                              </w:r>
                            </w:p>
                          </w:tc>
                          <w:tc>
                            <w:tcPr>
                              <w:tcW w:w="0" w:type="auto"/>
                              <w:tcBorders>
                                <w:left w:val="single" w:sz="4" w:space="0" w:color="auto"/>
                              </w:tcBorders>
                              <w:vAlign w:val="center"/>
                              <w:hideMark/>
                            </w:tcPr>
                            <w:p w14:paraId="1B17CF3F"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Non-Significant</w:t>
                              </w:r>
                            </w:p>
                          </w:tc>
                        </w:tr>
                        <w:tr w:rsidR="00FD1B4A" w:rsidRPr="005C7216" w14:paraId="3FC8A180" w14:textId="77777777" w:rsidTr="00FD1B4A">
                          <w:trPr>
                            <w:trHeight w:val="417"/>
                            <w:tblCellSpacing w:w="15" w:type="dxa"/>
                          </w:trPr>
                          <w:tc>
                            <w:tcPr>
                              <w:tcW w:w="0" w:type="auto"/>
                              <w:tcBorders>
                                <w:bottom w:val="single" w:sz="4" w:space="0" w:color="auto"/>
                                <w:right w:val="single" w:sz="4" w:space="0" w:color="auto"/>
                              </w:tcBorders>
                              <w:vAlign w:val="center"/>
                              <w:hideMark/>
                            </w:tcPr>
                            <w:p w14:paraId="06783729" w14:textId="77777777" w:rsidR="00935793" w:rsidRPr="005C7216" w:rsidRDefault="00935793" w:rsidP="00F732EA">
                              <w:pPr>
                                <w:rPr>
                                  <w:rFonts w:ascii="Times New Roman" w:hAnsi="Times New Roman" w:cs="Times New Roman"/>
                                  <w:sz w:val="24"/>
                                  <w:szCs w:val="24"/>
                                </w:rPr>
                              </w:pPr>
                            </w:p>
                          </w:tc>
                          <w:tc>
                            <w:tcPr>
                              <w:tcW w:w="0" w:type="auto"/>
                              <w:tcBorders>
                                <w:top w:val="single" w:sz="4" w:space="0" w:color="auto"/>
                                <w:bottom w:val="single" w:sz="4" w:space="0" w:color="auto"/>
                                <w:right w:val="single" w:sz="4" w:space="0" w:color="auto"/>
                              </w:tcBorders>
                              <w:vAlign w:val="center"/>
                              <w:hideMark/>
                            </w:tcPr>
                            <w:p w14:paraId="4CE8C37C"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Defenders</w:t>
                              </w:r>
                            </w:p>
                          </w:tc>
                          <w:tc>
                            <w:tcPr>
                              <w:tcW w:w="0" w:type="auto"/>
                              <w:tcBorders>
                                <w:top w:val="single" w:sz="4" w:space="0" w:color="auto"/>
                                <w:bottom w:val="single" w:sz="4" w:space="0" w:color="auto"/>
                                <w:right w:val="single" w:sz="4" w:space="0" w:color="auto"/>
                              </w:tcBorders>
                              <w:vAlign w:val="center"/>
                              <w:hideMark/>
                            </w:tcPr>
                            <w:p w14:paraId="18A0509A"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11</w:t>
                              </w:r>
                            </w:p>
                          </w:tc>
                          <w:tc>
                            <w:tcPr>
                              <w:tcW w:w="0" w:type="auto"/>
                              <w:tcBorders>
                                <w:top w:val="single" w:sz="4" w:space="0" w:color="auto"/>
                                <w:bottom w:val="single" w:sz="4" w:space="0" w:color="auto"/>
                                <w:right w:val="single" w:sz="4" w:space="0" w:color="auto"/>
                              </w:tcBorders>
                              <w:vAlign w:val="center"/>
                              <w:hideMark/>
                            </w:tcPr>
                            <w:p w14:paraId="5940F4A4"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3.0</w:t>
                              </w:r>
                            </w:p>
                          </w:tc>
                          <w:tc>
                            <w:tcPr>
                              <w:tcW w:w="0" w:type="auto"/>
                              <w:tcBorders>
                                <w:top w:val="single" w:sz="4" w:space="0" w:color="auto"/>
                                <w:bottom w:val="single" w:sz="4" w:space="0" w:color="auto"/>
                              </w:tcBorders>
                              <w:vAlign w:val="center"/>
                              <w:hideMark/>
                            </w:tcPr>
                            <w:p w14:paraId="2BF62978"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1.0954</w:t>
                              </w:r>
                            </w:p>
                          </w:tc>
                          <w:tc>
                            <w:tcPr>
                              <w:tcW w:w="0" w:type="auto"/>
                              <w:tcBorders>
                                <w:left w:val="single" w:sz="4" w:space="0" w:color="auto"/>
                                <w:bottom w:val="single" w:sz="4" w:space="0" w:color="auto"/>
                              </w:tcBorders>
                              <w:vAlign w:val="center"/>
                              <w:hideMark/>
                            </w:tcPr>
                            <w:p w14:paraId="1DA1BE08" w14:textId="77777777" w:rsidR="00935793" w:rsidRPr="005C7216" w:rsidRDefault="00935793" w:rsidP="00F732EA">
                              <w:pPr>
                                <w:rPr>
                                  <w:rFonts w:ascii="Times New Roman" w:hAnsi="Times New Roman" w:cs="Times New Roman"/>
                                  <w:sz w:val="24"/>
                                  <w:szCs w:val="24"/>
                                </w:rPr>
                              </w:pPr>
                            </w:p>
                          </w:tc>
                          <w:tc>
                            <w:tcPr>
                              <w:tcW w:w="0" w:type="auto"/>
                              <w:tcBorders>
                                <w:left w:val="single" w:sz="4" w:space="0" w:color="auto"/>
                                <w:bottom w:val="single" w:sz="4" w:space="0" w:color="auto"/>
                              </w:tcBorders>
                              <w:vAlign w:val="center"/>
                              <w:hideMark/>
                            </w:tcPr>
                            <w:p w14:paraId="6103FFC9" w14:textId="77777777" w:rsidR="00935793" w:rsidRPr="005C7216" w:rsidRDefault="00935793" w:rsidP="00F732EA">
                              <w:pPr>
                                <w:rPr>
                                  <w:rFonts w:ascii="Times New Roman" w:hAnsi="Times New Roman" w:cs="Times New Roman"/>
                                  <w:sz w:val="24"/>
                                  <w:szCs w:val="24"/>
                                </w:rPr>
                              </w:pPr>
                            </w:p>
                          </w:tc>
                          <w:tc>
                            <w:tcPr>
                              <w:tcW w:w="0" w:type="auto"/>
                              <w:tcBorders>
                                <w:left w:val="single" w:sz="4" w:space="0" w:color="auto"/>
                                <w:bottom w:val="single" w:sz="4" w:space="0" w:color="auto"/>
                              </w:tcBorders>
                              <w:vAlign w:val="center"/>
                              <w:hideMark/>
                            </w:tcPr>
                            <w:p w14:paraId="7178BBC6" w14:textId="77777777" w:rsidR="00935793" w:rsidRPr="005C7216" w:rsidRDefault="00935793" w:rsidP="00F732EA">
                              <w:pPr>
                                <w:rPr>
                                  <w:rFonts w:ascii="Times New Roman" w:hAnsi="Times New Roman" w:cs="Times New Roman"/>
                                  <w:sz w:val="24"/>
                                  <w:szCs w:val="24"/>
                                </w:rPr>
                              </w:pPr>
                            </w:p>
                          </w:tc>
                        </w:tr>
                        <w:tr w:rsidR="00FD1B4A" w:rsidRPr="005C7216" w14:paraId="6D2208A1" w14:textId="77777777" w:rsidTr="00FD1B4A">
                          <w:trPr>
                            <w:trHeight w:val="408"/>
                            <w:tblCellSpacing w:w="15" w:type="dxa"/>
                          </w:trPr>
                          <w:tc>
                            <w:tcPr>
                              <w:tcW w:w="0" w:type="auto"/>
                              <w:tcBorders>
                                <w:right w:val="single" w:sz="4" w:space="0" w:color="auto"/>
                              </w:tcBorders>
                              <w:vAlign w:val="center"/>
                              <w:hideMark/>
                            </w:tcPr>
                            <w:p w14:paraId="0EE88E09"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b/>
                                  <w:bCs/>
                                  <w:sz w:val="24"/>
                                  <w:szCs w:val="24"/>
                                </w:rPr>
                                <w:t>Confidence</w:t>
                              </w:r>
                            </w:p>
                          </w:tc>
                          <w:tc>
                            <w:tcPr>
                              <w:tcW w:w="0" w:type="auto"/>
                              <w:tcBorders>
                                <w:bottom w:val="single" w:sz="4" w:space="0" w:color="auto"/>
                                <w:right w:val="single" w:sz="4" w:space="0" w:color="auto"/>
                              </w:tcBorders>
                              <w:vAlign w:val="center"/>
                              <w:hideMark/>
                            </w:tcPr>
                            <w:p w14:paraId="0A9D9D47"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Forwards</w:t>
                              </w:r>
                            </w:p>
                          </w:tc>
                          <w:tc>
                            <w:tcPr>
                              <w:tcW w:w="0" w:type="auto"/>
                              <w:tcBorders>
                                <w:bottom w:val="single" w:sz="4" w:space="0" w:color="auto"/>
                                <w:right w:val="single" w:sz="4" w:space="0" w:color="auto"/>
                              </w:tcBorders>
                              <w:vAlign w:val="center"/>
                              <w:hideMark/>
                            </w:tcPr>
                            <w:p w14:paraId="5BA7747F"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11</w:t>
                              </w:r>
                            </w:p>
                          </w:tc>
                          <w:tc>
                            <w:tcPr>
                              <w:tcW w:w="0" w:type="auto"/>
                              <w:tcBorders>
                                <w:bottom w:val="single" w:sz="4" w:space="0" w:color="auto"/>
                                <w:right w:val="single" w:sz="4" w:space="0" w:color="auto"/>
                              </w:tcBorders>
                              <w:vAlign w:val="center"/>
                              <w:hideMark/>
                            </w:tcPr>
                            <w:p w14:paraId="422D25D2"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4.1</w:t>
                              </w:r>
                            </w:p>
                          </w:tc>
                          <w:tc>
                            <w:tcPr>
                              <w:tcW w:w="0" w:type="auto"/>
                              <w:tcBorders>
                                <w:bottom w:val="single" w:sz="4" w:space="0" w:color="auto"/>
                              </w:tcBorders>
                              <w:vAlign w:val="center"/>
                              <w:hideMark/>
                            </w:tcPr>
                            <w:p w14:paraId="5910C287"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1.5232</w:t>
                              </w:r>
                            </w:p>
                          </w:tc>
                          <w:tc>
                            <w:tcPr>
                              <w:tcW w:w="0" w:type="auto"/>
                              <w:tcBorders>
                                <w:left w:val="single" w:sz="4" w:space="0" w:color="auto"/>
                              </w:tcBorders>
                              <w:vAlign w:val="center"/>
                              <w:hideMark/>
                            </w:tcPr>
                            <w:p w14:paraId="73039BB1"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2.3511</w:t>
                              </w:r>
                            </w:p>
                          </w:tc>
                          <w:tc>
                            <w:tcPr>
                              <w:tcW w:w="0" w:type="auto"/>
                              <w:tcBorders>
                                <w:left w:val="single" w:sz="4" w:space="0" w:color="auto"/>
                              </w:tcBorders>
                              <w:vAlign w:val="center"/>
                              <w:hideMark/>
                            </w:tcPr>
                            <w:p w14:paraId="6C78CFA8"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2.1009</w:t>
                              </w:r>
                            </w:p>
                          </w:tc>
                          <w:tc>
                            <w:tcPr>
                              <w:tcW w:w="0" w:type="auto"/>
                              <w:tcBorders>
                                <w:left w:val="single" w:sz="4" w:space="0" w:color="auto"/>
                              </w:tcBorders>
                              <w:vAlign w:val="center"/>
                              <w:hideMark/>
                            </w:tcPr>
                            <w:p w14:paraId="71C351B2"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Significant</w:t>
                              </w:r>
                            </w:p>
                          </w:tc>
                        </w:tr>
                        <w:tr w:rsidR="00FD1B4A" w:rsidRPr="005C7216" w14:paraId="541DA373" w14:textId="77777777" w:rsidTr="00FD1B4A">
                          <w:trPr>
                            <w:trHeight w:val="417"/>
                            <w:tblCellSpacing w:w="15" w:type="dxa"/>
                          </w:trPr>
                          <w:tc>
                            <w:tcPr>
                              <w:tcW w:w="0" w:type="auto"/>
                              <w:tcBorders>
                                <w:right w:val="single" w:sz="4" w:space="0" w:color="auto"/>
                              </w:tcBorders>
                              <w:vAlign w:val="center"/>
                              <w:hideMark/>
                            </w:tcPr>
                            <w:p w14:paraId="4DB20924" w14:textId="77777777" w:rsidR="00935793" w:rsidRPr="005C7216" w:rsidRDefault="00935793" w:rsidP="00F732EA">
                              <w:pPr>
                                <w:rPr>
                                  <w:rFonts w:ascii="Times New Roman" w:hAnsi="Times New Roman" w:cs="Times New Roman"/>
                                  <w:sz w:val="24"/>
                                  <w:szCs w:val="24"/>
                                </w:rPr>
                              </w:pPr>
                            </w:p>
                          </w:tc>
                          <w:tc>
                            <w:tcPr>
                              <w:tcW w:w="0" w:type="auto"/>
                              <w:tcBorders>
                                <w:right w:val="single" w:sz="4" w:space="0" w:color="auto"/>
                              </w:tcBorders>
                              <w:vAlign w:val="center"/>
                              <w:hideMark/>
                            </w:tcPr>
                            <w:p w14:paraId="42157F46"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Defenders</w:t>
                              </w:r>
                            </w:p>
                          </w:tc>
                          <w:tc>
                            <w:tcPr>
                              <w:tcW w:w="0" w:type="auto"/>
                              <w:tcBorders>
                                <w:right w:val="single" w:sz="4" w:space="0" w:color="auto"/>
                              </w:tcBorders>
                              <w:vAlign w:val="center"/>
                              <w:hideMark/>
                            </w:tcPr>
                            <w:p w14:paraId="4DC06810"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11</w:t>
                              </w:r>
                            </w:p>
                          </w:tc>
                          <w:tc>
                            <w:tcPr>
                              <w:tcW w:w="0" w:type="auto"/>
                              <w:tcBorders>
                                <w:right w:val="single" w:sz="4" w:space="0" w:color="auto"/>
                              </w:tcBorders>
                              <w:vAlign w:val="center"/>
                              <w:hideMark/>
                            </w:tcPr>
                            <w:p w14:paraId="6964FA2A"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3.1</w:t>
                              </w:r>
                            </w:p>
                          </w:tc>
                          <w:tc>
                            <w:tcPr>
                              <w:tcW w:w="0" w:type="auto"/>
                              <w:vAlign w:val="center"/>
                              <w:hideMark/>
                            </w:tcPr>
                            <w:p w14:paraId="61DDFA9E"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1.2873</w:t>
                              </w:r>
                            </w:p>
                          </w:tc>
                          <w:tc>
                            <w:tcPr>
                              <w:tcW w:w="0" w:type="auto"/>
                              <w:tcBorders>
                                <w:left w:val="single" w:sz="4" w:space="0" w:color="auto"/>
                              </w:tcBorders>
                              <w:vAlign w:val="center"/>
                              <w:hideMark/>
                            </w:tcPr>
                            <w:p w14:paraId="1BE465AE" w14:textId="77777777" w:rsidR="00935793" w:rsidRPr="005C7216" w:rsidRDefault="00935793" w:rsidP="00F732EA">
                              <w:pPr>
                                <w:rPr>
                                  <w:rFonts w:ascii="Times New Roman" w:hAnsi="Times New Roman" w:cs="Times New Roman"/>
                                  <w:sz w:val="24"/>
                                  <w:szCs w:val="24"/>
                                </w:rPr>
                              </w:pPr>
                            </w:p>
                          </w:tc>
                          <w:tc>
                            <w:tcPr>
                              <w:tcW w:w="0" w:type="auto"/>
                              <w:tcBorders>
                                <w:left w:val="single" w:sz="4" w:space="0" w:color="auto"/>
                              </w:tcBorders>
                              <w:vAlign w:val="center"/>
                              <w:hideMark/>
                            </w:tcPr>
                            <w:p w14:paraId="241D755E" w14:textId="77777777" w:rsidR="00935793" w:rsidRPr="005C7216" w:rsidRDefault="00935793" w:rsidP="00F732EA">
                              <w:pPr>
                                <w:rPr>
                                  <w:rFonts w:ascii="Times New Roman" w:hAnsi="Times New Roman" w:cs="Times New Roman"/>
                                  <w:sz w:val="24"/>
                                  <w:szCs w:val="24"/>
                                </w:rPr>
                              </w:pPr>
                            </w:p>
                          </w:tc>
                          <w:tc>
                            <w:tcPr>
                              <w:tcW w:w="0" w:type="auto"/>
                              <w:tcBorders>
                                <w:left w:val="single" w:sz="4" w:space="0" w:color="auto"/>
                              </w:tcBorders>
                              <w:vAlign w:val="center"/>
                              <w:hideMark/>
                            </w:tcPr>
                            <w:p w14:paraId="192C509F" w14:textId="77777777" w:rsidR="00935793" w:rsidRPr="005C7216" w:rsidRDefault="00935793" w:rsidP="00F732EA">
                              <w:pPr>
                                <w:rPr>
                                  <w:rFonts w:ascii="Times New Roman" w:hAnsi="Times New Roman" w:cs="Times New Roman"/>
                                  <w:sz w:val="24"/>
                                  <w:szCs w:val="24"/>
                                </w:rPr>
                              </w:pPr>
                            </w:p>
                          </w:tc>
                        </w:tr>
                        <w:tr w:rsidR="00FD1B4A" w:rsidRPr="005C7216" w14:paraId="7215D9DB" w14:textId="77777777" w:rsidTr="00FD1B4A">
                          <w:trPr>
                            <w:trHeight w:val="689"/>
                            <w:tblCellSpacing w:w="15" w:type="dxa"/>
                          </w:trPr>
                          <w:tc>
                            <w:tcPr>
                              <w:tcW w:w="0" w:type="auto"/>
                              <w:tcBorders>
                                <w:top w:val="single" w:sz="4" w:space="0" w:color="auto"/>
                                <w:right w:val="single" w:sz="4" w:space="0" w:color="auto"/>
                              </w:tcBorders>
                              <w:vAlign w:val="center"/>
                              <w:hideMark/>
                            </w:tcPr>
                            <w:p w14:paraId="10145BC1"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b/>
                                  <w:bCs/>
                                  <w:sz w:val="24"/>
                                  <w:szCs w:val="24"/>
                                </w:rPr>
                                <w:t>Motivation</w:t>
                              </w:r>
                            </w:p>
                          </w:tc>
                          <w:tc>
                            <w:tcPr>
                              <w:tcW w:w="0" w:type="auto"/>
                              <w:tcBorders>
                                <w:top w:val="single" w:sz="4" w:space="0" w:color="auto"/>
                                <w:right w:val="single" w:sz="4" w:space="0" w:color="auto"/>
                              </w:tcBorders>
                              <w:vAlign w:val="center"/>
                              <w:hideMark/>
                            </w:tcPr>
                            <w:p w14:paraId="7810C0F1"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Forwards</w:t>
                              </w:r>
                            </w:p>
                          </w:tc>
                          <w:tc>
                            <w:tcPr>
                              <w:tcW w:w="0" w:type="auto"/>
                              <w:tcBorders>
                                <w:top w:val="single" w:sz="4" w:space="0" w:color="auto"/>
                                <w:right w:val="single" w:sz="4" w:space="0" w:color="auto"/>
                              </w:tcBorders>
                              <w:vAlign w:val="center"/>
                              <w:hideMark/>
                            </w:tcPr>
                            <w:p w14:paraId="35C6E8D8"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11</w:t>
                              </w:r>
                            </w:p>
                          </w:tc>
                          <w:tc>
                            <w:tcPr>
                              <w:tcW w:w="0" w:type="auto"/>
                              <w:tcBorders>
                                <w:top w:val="single" w:sz="4" w:space="0" w:color="auto"/>
                                <w:right w:val="single" w:sz="4" w:space="0" w:color="auto"/>
                              </w:tcBorders>
                              <w:vAlign w:val="center"/>
                              <w:hideMark/>
                            </w:tcPr>
                            <w:p w14:paraId="2ADF73B9"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4.0</w:t>
                              </w:r>
                            </w:p>
                          </w:tc>
                          <w:tc>
                            <w:tcPr>
                              <w:tcW w:w="0" w:type="auto"/>
                              <w:tcBorders>
                                <w:top w:val="single" w:sz="4" w:space="0" w:color="auto"/>
                              </w:tcBorders>
                              <w:vAlign w:val="center"/>
                              <w:hideMark/>
                            </w:tcPr>
                            <w:p w14:paraId="59673E19"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1.000</w:t>
                              </w:r>
                            </w:p>
                          </w:tc>
                          <w:tc>
                            <w:tcPr>
                              <w:tcW w:w="0" w:type="auto"/>
                              <w:tcBorders>
                                <w:top w:val="single" w:sz="4" w:space="0" w:color="auto"/>
                                <w:left w:val="single" w:sz="4" w:space="0" w:color="auto"/>
                              </w:tcBorders>
                              <w:vAlign w:val="center"/>
                              <w:hideMark/>
                            </w:tcPr>
                            <w:p w14:paraId="68C62045"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-0.2767</w:t>
                              </w:r>
                            </w:p>
                          </w:tc>
                          <w:tc>
                            <w:tcPr>
                              <w:tcW w:w="0" w:type="auto"/>
                              <w:tcBorders>
                                <w:top w:val="single" w:sz="4" w:space="0" w:color="auto"/>
                                <w:left w:val="single" w:sz="4" w:space="0" w:color="auto"/>
                              </w:tcBorders>
                              <w:vAlign w:val="center"/>
                              <w:hideMark/>
                            </w:tcPr>
                            <w:p w14:paraId="13D0D315"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2.1009</w:t>
                              </w:r>
                            </w:p>
                          </w:tc>
                          <w:tc>
                            <w:tcPr>
                              <w:tcW w:w="0" w:type="auto"/>
                              <w:tcBorders>
                                <w:top w:val="single" w:sz="4" w:space="0" w:color="auto"/>
                                <w:left w:val="single" w:sz="4" w:space="0" w:color="auto"/>
                              </w:tcBorders>
                              <w:vAlign w:val="center"/>
                              <w:hideMark/>
                            </w:tcPr>
                            <w:p w14:paraId="4D3E8234"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Non-Significant</w:t>
                              </w:r>
                            </w:p>
                          </w:tc>
                        </w:tr>
                        <w:tr w:rsidR="00FD1B4A" w:rsidRPr="005C7216" w14:paraId="5094E014" w14:textId="77777777" w:rsidTr="00FD1B4A">
                          <w:trPr>
                            <w:trHeight w:val="408"/>
                            <w:tblCellSpacing w:w="15" w:type="dxa"/>
                          </w:trPr>
                          <w:tc>
                            <w:tcPr>
                              <w:tcW w:w="0" w:type="auto"/>
                              <w:tcBorders>
                                <w:right w:val="single" w:sz="4" w:space="0" w:color="auto"/>
                              </w:tcBorders>
                              <w:vAlign w:val="center"/>
                              <w:hideMark/>
                            </w:tcPr>
                            <w:p w14:paraId="4B53A603" w14:textId="77777777" w:rsidR="00935793" w:rsidRPr="005C7216" w:rsidRDefault="00935793" w:rsidP="00F732EA">
                              <w:pPr>
                                <w:rPr>
                                  <w:rFonts w:ascii="Times New Roman" w:hAnsi="Times New Roman" w:cs="Times New Roman"/>
                                  <w:sz w:val="24"/>
                                  <w:szCs w:val="24"/>
                                </w:rPr>
                              </w:pPr>
                            </w:p>
                          </w:tc>
                          <w:tc>
                            <w:tcPr>
                              <w:tcW w:w="0" w:type="auto"/>
                              <w:tcBorders>
                                <w:right w:val="single" w:sz="4" w:space="0" w:color="auto"/>
                              </w:tcBorders>
                              <w:vAlign w:val="center"/>
                              <w:hideMark/>
                            </w:tcPr>
                            <w:p w14:paraId="631499E1"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Defenders</w:t>
                              </w:r>
                            </w:p>
                          </w:tc>
                          <w:tc>
                            <w:tcPr>
                              <w:tcW w:w="0" w:type="auto"/>
                              <w:tcBorders>
                                <w:right w:val="single" w:sz="4" w:space="0" w:color="auto"/>
                              </w:tcBorders>
                              <w:vAlign w:val="center"/>
                              <w:hideMark/>
                            </w:tcPr>
                            <w:p w14:paraId="28602FF2"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11</w:t>
                              </w:r>
                            </w:p>
                          </w:tc>
                          <w:tc>
                            <w:tcPr>
                              <w:tcW w:w="0" w:type="auto"/>
                              <w:tcBorders>
                                <w:right w:val="single" w:sz="4" w:space="0" w:color="auto"/>
                              </w:tcBorders>
                              <w:vAlign w:val="center"/>
                              <w:hideMark/>
                            </w:tcPr>
                            <w:p w14:paraId="0D1C1D46"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4.2</w:t>
                              </w:r>
                            </w:p>
                          </w:tc>
                          <w:tc>
                            <w:tcPr>
                              <w:tcW w:w="0" w:type="auto"/>
                              <w:vAlign w:val="center"/>
                              <w:hideMark/>
                            </w:tcPr>
                            <w:p w14:paraId="0A9BCF6A" w14:textId="77777777" w:rsidR="00935793" w:rsidRPr="005C7216" w:rsidRDefault="00935793" w:rsidP="00F732EA">
                              <w:pPr>
                                <w:rPr>
                                  <w:rFonts w:ascii="Times New Roman" w:hAnsi="Times New Roman" w:cs="Times New Roman"/>
                                  <w:sz w:val="24"/>
                                  <w:szCs w:val="24"/>
                                </w:rPr>
                              </w:pPr>
                              <w:r w:rsidRPr="005C7216">
                                <w:rPr>
                                  <w:rFonts w:ascii="Times New Roman" w:hAnsi="Times New Roman" w:cs="Times New Roman"/>
                                  <w:sz w:val="24"/>
                                  <w:szCs w:val="24"/>
                                </w:rPr>
                                <w:t>0.6325</w:t>
                              </w:r>
                            </w:p>
                          </w:tc>
                          <w:tc>
                            <w:tcPr>
                              <w:tcW w:w="0" w:type="auto"/>
                              <w:tcBorders>
                                <w:left w:val="single" w:sz="4" w:space="0" w:color="auto"/>
                              </w:tcBorders>
                              <w:vAlign w:val="center"/>
                              <w:hideMark/>
                            </w:tcPr>
                            <w:p w14:paraId="1670C5D7" w14:textId="77777777" w:rsidR="00935793" w:rsidRPr="005C7216" w:rsidRDefault="00935793" w:rsidP="00F732EA">
                              <w:pPr>
                                <w:rPr>
                                  <w:rFonts w:ascii="Times New Roman" w:hAnsi="Times New Roman" w:cs="Times New Roman"/>
                                  <w:sz w:val="24"/>
                                  <w:szCs w:val="24"/>
                                </w:rPr>
                              </w:pPr>
                            </w:p>
                          </w:tc>
                          <w:tc>
                            <w:tcPr>
                              <w:tcW w:w="0" w:type="auto"/>
                              <w:tcBorders>
                                <w:left w:val="single" w:sz="4" w:space="0" w:color="auto"/>
                              </w:tcBorders>
                              <w:vAlign w:val="center"/>
                              <w:hideMark/>
                            </w:tcPr>
                            <w:p w14:paraId="7F6282A6" w14:textId="77777777" w:rsidR="00935793" w:rsidRPr="005C7216" w:rsidRDefault="00935793" w:rsidP="00F732EA">
                              <w:pPr>
                                <w:rPr>
                                  <w:rFonts w:ascii="Times New Roman" w:hAnsi="Times New Roman" w:cs="Times New Roman"/>
                                  <w:sz w:val="24"/>
                                  <w:szCs w:val="24"/>
                                </w:rPr>
                              </w:pPr>
                            </w:p>
                          </w:tc>
                          <w:tc>
                            <w:tcPr>
                              <w:tcW w:w="0" w:type="auto"/>
                              <w:tcBorders>
                                <w:left w:val="single" w:sz="4" w:space="0" w:color="auto"/>
                              </w:tcBorders>
                              <w:vAlign w:val="center"/>
                              <w:hideMark/>
                            </w:tcPr>
                            <w:p w14:paraId="013B0754" w14:textId="77777777" w:rsidR="00935793" w:rsidRPr="005C7216" w:rsidRDefault="00935793" w:rsidP="00F732EA">
                              <w:pPr>
                                <w:rPr>
                                  <w:rFonts w:ascii="Times New Roman" w:hAnsi="Times New Roman" w:cs="Times New Roman"/>
                                  <w:sz w:val="24"/>
                                  <w:szCs w:val="24"/>
                                </w:rPr>
                              </w:pPr>
                            </w:p>
                          </w:tc>
                        </w:tr>
                      </w:tbl>
                      <w:p w14:paraId="7A6552CE" w14:textId="77777777" w:rsidR="00935793" w:rsidRDefault="00935793" w:rsidP="00F732EA"/>
                    </w:tc>
                  </w:tr>
                  <w:tr w:rsidR="009F61E3" w14:paraId="0EC56FB0" w14:textId="77777777" w:rsidTr="00FD1B4A">
                    <w:trPr>
                      <w:trHeight w:val="47"/>
                    </w:trPr>
                    <w:tc>
                      <w:tcPr>
                        <w:tcW w:w="7993" w:type="dxa"/>
                        <w:tcBorders>
                          <w:top w:val="single" w:sz="4" w:space="0" w:color="auto"/>
                        </w:tcBorders>
                      </w:tcPr>
                      <w:p w14:paraId="3BE657DC" w14:textId="77777777" w:rsidR="009F61E3" w:rsidRPr="005C7216" w:rsidRDefault="009F61E3" w:rsidP="00F732EA">
                        <w:pPr>
                          <w:rPr>
                            <w:rFonts w:ascii="Times New Roman" w:hAnsi="Times New Roman" w:cs="Times New Roman"/>
                            <w:b/>
                            <w:bCs/>
                            <w:sz w:val="24"/>
                            <w:szCs w:val="24"/>
                          </w:rPr>
                        </w:pPr>
                      </w:p>
                    </w:tc>
                  </w:tr>
                </w:tbl>
                <w:p w14:paraId="0EABFEF0" w14:textId="77777777" w:rsidR="00935793" w:rsidRDefault="00935793" w:rsidP="00F732EA"/>
              </w:tc>
            </w:tr>
          </w:tbl>
          <w:p w14:paraId="367B1D1D" w14:textId="77777777" w:rsidR="00935793" w:rsidRDefault="00935793" w:rsidP="00F732EA"/>
        </w:tc>
      </w:tr>
    </w:tbl>
    <w:p w14:paraId="24964851" w14:textId="77777777" w:rsidR="005C7216" w:rsidRPr="00CD0589" w:rsidRDefault="005C7216" w:rsidP="00CD0589">
      <w:pPr>
        <w:rPr>
          <w:rFonts w:ascii="Times New Roman" w:hAnsi="Times New Roman" w:cs="Times New Roman"/>
          <w:sz w:val="24"/>
          <w:szCs w:val="24"/>
          <w:lang w:val="en-US"/>
        </w:rPr>
      </w:pPr>
    </w:p>
    <w:p w14:paraId="1F55AE91" w14:textId="77777777" w:rsidR="00FF4310" w:rsidRDefault="00FF4310" w:rsidP="00EB3FF1">
      <w:pPr>
        <w:rPr>
          <w:rFonts w:ascii="Times New Roman" w:hAnsi="Times New Roman" w:cs="Times New Roman"/>
          <w:sz w:val="24"/>
          <w:szCs w:val="24"/>
          <w:lang w:val="en-US"/>
        </w:rPr>
      </w:pPr>
    </w:p>
    <w:p w14:paraId="0DE51831" w14:textId="5912A42F" w:rsidR="009D44AA" w:rsidRPr="009D44AA" w:rsidRDefault="00FF4310" w:rsidP="0012757B">
      <w:pPr>
        <w:jc w:val="both"/>
        <w:rPr>
          <w:rFonts w:ascii="Times New Roman" w:hAnsi="Times New Roman" w:cs="Times New Roman"/>
          <w:b/>
          <w:bCs/>
          <w:sz w:val="24"/>
          <w:szCs w:val="24"/>
          <w:lang w:val="en-US"/>
        </w:rPr>
      </w:pPr>
      <w:r w:rsidRPr="00FF4310">
        <w:rPr>
          <w:rFonts w:ascii="Times New Roman" w:hAnsi="Times New Roman" w:cs="Times New Roman"/>
          <w:b/>
          <w:bCs/>
          <w:sz w:val="24"/>
          <w:szCs w:val="24"/>
          <w:lang w:val="en-US"/>
        </w:rPr>
        <w:t>DISCUSSION</w:t>
      </w:r>
      <w:r w:rsidR="009D44AA" w:rsidRPr="009D44AA">
        <w:rPr>
          <w:rFonts w:ascii="Times New Roman" w:hAnsi="Times New Roman" w:cs="Times New Roman"/>
          <w:sz w:val="24"/>
          <w:szCs w:val="24"/>
        </w:rPr>
        <w:br/>
        <w:t xml:space="preserve">Men's intercollegiate hockey players from LNIPE, Gwalior were the subjects of this study, which compared the mental toughness of forwards and defenders. Five subscales were examined: rebound ability, pressure handling, confidence, concentration, and motivation. The findings showed that although there were no differences in the other subscales, forwards had much higher confidence than defenders. </w:t>
      </w:r>
    </w:p>
    <w:p w14:paraId="5904E317" w14:textId="10E25404" w:rsidR="00EB3FF1" w:rsidRPr="00FF4310" w:rsidRDefault="00FF4310" w:rsidP="00EB3FF1">
      <w:pPr>
        <w:rPr>
          <w:rFonts w:ascii="Times New Roman" w:hAnsi="Times New Roman" w:cs="Times New Roman"/>
          <w:sz w:val="24"/>
          <w:szCs w:val="24"/>
          <w:u w:val="single"/>
          <w:lang w:val="en-US"/>
        </w:rPr>
      </w:pPr>
      <w:r w:rsidRPr="00FF4310">
        <w:rPr>
          <w:rFonts w:ascii="Times New Roman" w:hAnsi="Times New Roman" w:cs="Times New Roman"/>
          <w:sz w:val="24"/>
          <w:szCs w:val="24"/>
          <w:u w:val="single"/>
          <w:lang w:val="en-US"/>
        </w:rPr>
        <w:t>MENTAL TOUGHNESS IN HOCKEY: FORWARD VS. DEFENDER ROLES</w:t>
      </w:r>
    </w:p>
    <w:p w14:paraId="55C0E377" w14:textId="77777777" w:rsidR="00773836" w:rsidRPr="00773836" w:rsidRDefault="00773836" w:rsidP="0012757B">
      <w:pPr>
        <w:jc w:val="both"/>
        <w:rPr>
          <w:rFonts w:ascii="Times New Roman" w:hAnsi="Times New Roman" w:cs="Times New Roman"/>
          <w:sz w:val="24"/>
          <w:szCs w:val="24"/>
        </w:rPr>
      </w:pPr>
      <w:r w:rsidRPr="00773836">
        <w:rPr>
          <w:rFonts w:ascii="Times New Roman" w:hAnsi="Times New Roman" w:cs="Times New Roman"/>
          <w:sz w:val="24"/>
          <w:szCs w:val="24"/>
        </w:rPr>
        <w:t>Emotional resilience is essential in team sports like hockey. As a result of their constant need for decisive action, forwards who are assigned with offensive actions that need fast decisions frequently grow more confident. Defenders stress tactical discipline because they prioritize stopping goals, which could account for the reduced confidence found in this study. This result is consistent with earlier studies (Bull et al., 2005; Jones et al., 2007), which show that different sports positions require different psychological characteristics.</w:t>
      </w:r>
    </w:p>
    <w:p w14:paraId="660A1D3C" w14:textId="01BF85DD" w:rsidR="00EB3FF1" w:rsidRPr="00FF4310" w:rsidRDefault="00FF4310" w:rsidP="00EB3FF1">
      <w:pPr>
        <w:rPr>
          <w:rFonts w:ascii="Times New Roman" w:hAnsi="Times New Roman" w:cs="Times New Roman"/>
          <w:sz w:val="24"/>
          <w:szCs w:val="24"/>
          <w:u w:val="single"/>
          <w:lang w:val="en-US"/>
        </w:rPr>
      </w:pPr>
      <w:r w:rsidRPr="00FF4310">
        <w:rPr>
          <w:rFonts w:ascii="Times New Roman" w:hAnsi="Times New Roman" w:cs="Times New Roman"/>
          <w:sz w:val="24"/>
          <w:szCs w:val="24"/>
          <w:u w:val="single"/>
          <w:lang w:val="en-US"/>
        </w:rPr>
        <w:t>PRESSURE HANDLING, REBOUND ABILITY, AND MOTIVATION</w:t>
      </w:r>
    </w:p>
    <w:p w14:paraId="75EB6B37" w14:textId="385F727D" w:rsidR="00790D07" w:rsidRPr="00790D07" w:rsidRDefault="00790D07" w:rsidP="0012757B">
      <w:pPr>
        <w:jc w:val="both"/>
        <w:rPr>
          <w:rFonts w:ascii="Times New Roman" w:hAnsi="Times New Roman" w:cs="Times New Roman"/>
          <w:sz w:val="24"/>
          <w:szCs w:val="24"/>
        </w:rPr>
      </w:pPr>
      <w:r w:rsidRPr="00790D07">
        <w:rPr>
          <w:rFonts w:ascii="Times New Roman" w:hAnsi="Times New Roman" w:cs="Times New Roman"/>
          <w:sz w:val="24"/>
          <w:szCs w:val="24"/>
        </w:rPr>
        <w:t>There were no appreciable variations in rebounding skills, pressure handling, or motivation between forwards and defenders. Both groups must quickly learn from their mistakes and deal with high-pressure situations. This result is in line with Crust's (2007) findings, which emphasized how great athletes in all vocations share resilience and the capacity to handle pressure.</w:t>
      </w:r>
    </w:p>
    <w:p w14:paraId="678EBFBE" w14:textId="03C3499B" w:rsidR="00EB3FF1" w:rsidRPr="00357961" w:rsidRDefault="00357961" w:rsidP="00EB3FF1">
      <w:pPr>
        <w:rPr>
          <w:rFonts w:ascii="Times New Roman" w:hAnsi="Times New Roman" w:cs="Times New Roman"/>
          <w:sz w:val="24"/>
          <w:szCs w:val="24"/>
          <w:u w:val="single"/>
          <w:lang w:val="en-US"/>
        </w:rPr>
      </w:pPr>
      <w:r w:rsidRPr="00357961">
        <w:rPr>
          <w:rFonts w:ascii="Times New Roman" w:hAnsi="Times New Roman" w:cs="Times New Roman"/>
          <w:sz w:val="24"/>
          <w:szCs w:val="24"/>
          <w:u w:val="single"/>
          <w:lang w:val="en-US"/>
        </w:rPr>
        <w:t>CONCENTRATION</w:t>
      </w:r>
    </w:p>
    <w:p w14:paraId="6BCCAA98" w14:textId="77777777" w:rsidR="00292474" w:rsidRPr="00292474" w:rsidRDefault="00292474" w:rsidP="0012757B">
      <w:pPr>
        <w:jc w:val="both"/>
        <w:rPr>
          <w:rFonts w:ascii="Times New Roman" w:hAnsi="Times New Roman" w:cs="Times New Roman"/>
          <w:sz w:val="24"/>
          <w:szCs w:val="24"/>
        </w:rPr>
      </w:pPr>
      <w:r w:rsidRPr="00292474">
        <w:rPr>
          <w:rFonts w:ascii="Times New Roman" w:hAnsi="Times New Roman" w:cs="Times New Roman"/>
          <w:sz w:val="24"/>
          <w:szCs w:val="24"/>
        </w:rPr>
        <w:t>Similar degrees of attention were shown by both defenders and forwards, which is important for all positions to keep focus and carry out plays. This result is consistent with the findings of Hardy et al. (2014), who highlighted the value of prolonged focus in team sports.</w:t>
      </w:r>
    </w:p>
    <w:p w14:paraId="40F8DA3E" w14:textId="15532B7C" w:rsidR="00EB3FF1" w:rsidRPr="006433AE" w:rsidRDefault="00357961" w:rsidP="00EB3FF1">
      <w:pPr>
        <w:rPr>
          <w:rFonts w:ascii="Times New Roman" w:hAnsi="Times New Roman" w:cs="Times New Roman"/>
          <w:sz w:val="24"/>
          <w:szCs w:val="24"/>
          <w:u w:val="single"/>
          <w:lang w:val="en-US"/>
        </w:rPr>
      </w:pPr>
      <w:r w:rsidRPr="006433AE">
        <w:rPr>
          <w:rFonts w:ascii="Times New Roman" w:hAnsi="Times New Roman" w:cs="Times New Roman"/>
          <w:sz w:val="24"/>
          <w:szCs w:val="24"/>
          <w:u w:val="single"/>
          <w:lang w:val="en-US"/>
        </w:rPr>
        <w:t>CONFIDENCE</w:t>
      </w:r>
    </w:p>
    <w:p w14:paraId="71978263" w14:textId="400F74BD" w:rsidR="004456AC" w:rsidRPr="00EA3D33" w:rsidRDefault="004456AC" w:rsidP="0012757B">
      <w:pPr>
        <w:jc w:val="both"/>
        <w:rPr>
          <w:rFonts w:ascii="Times New Roman" w:hAnsi="Times New Roman" w:cs="Times New Roman"/>
          <w:sz w:val="24"/>
          <w:szCs w:val="24"/>
        </w:rPr>
      </w:pPr>
      <w:r w:rsidRPr="004456AC">
        <w:rPr>
          <w:rFonts w:ascii="Times New Roman" w:hAnsi="Times New Roman" w:cs="Times New Roman"/>
          <w:sz w:val="24"/>
          <w:szCs w:val="24"/>
        </w:rPr>
        <w:t>The only subscale showing a meaningful difference was confidence, when forwards showed higher levels. Defen</w:t>
      </w:r>
      <w:r w:rsidR="00EA3D33">
        <w:rPr>
          <w:rFonts w:ascii="Times New Roman" w:hAnsi="Times New Roman" w:cs="Times New Roman"/>
          <w:sz w:val="24"/>
          <w:szCs w:val="24"/>
        </w:rPr>
        <w:t>ders</w:t>
      </w:r>
      <w:r w:rsidRPr="004456AC">
        <w:rPr>
          <w:rFonts w:ascii="Times New Roman" w:hAnsi="Times New Roman" w:cs="Times New Roman"/>
          <w:sz w:val="24"/>
          <w:szCs w:val="24"/>
        </w:rPr>
        <w:t xml:space="preserve"> tend to concentrate more on positioning and collaboration, whereas forwards are more likely to be confident due to their role in high-risk, decisive scenarios.</w:t>
      </w:r>
    </w:p>
    <w:p w14:paraId="1E255E00" w14:textId="16771619" w:rsidR="00EB3FF1" w:rsidRPr="006433AE" w:rsidRDefault="006433AE" w:rsidP="00EB3FF1">
      <w:pPr>
        <w:rPr>
          <w:rFonts w:ascii="Times New Roman" w:hAnsi="Times New Roman" w:cs="Times New Roman"/>
          <w:sz w:val="24"/>
          <w:szCs w:val="24"/>
          <w:u w:val="single"/>
          <w:lang w:val="en-US"/>
        </w:rPr>
      </w:pPr>
      <w:r w:rsidRPr="006433AE">
        <w:rPr>
          <w:rFonts w:ascii="Times New Roman" w:hAnsi="Times New Roman" w:cs="Times New Roman"/>
          <w:sz w:val="24"/>
          <w:szCs w:val="24"/>
          <w:u w:val="single"/>
          <w:lang w:val="en-US"/>
        </w:rPr>
        <w:t>IMPLICATIONS FOR COACHING</w:t>
      </w:r>
    </w:p>
    <w:p w14:paraId="0551AD54" w14:textId="14570E74" w:rsidR="00971E6A" w:rsidRPr="00971E6A" w:rsidRDefault="00971E6A" w:rsidP="0012757B">
      <w:pPr>
        <w:jc w:val="both"/>
        <w:rPr>
          <w:rFonts w:ascii="Times New Roman" w:hAnsi="Times New Roman" w:cs="Times New Roman"/>
          <w:sz w:val="24"/>
          <w:szCs w:val="24"/>
        </w:rPr>
      </w:pPr>
      <w:r w:rsidRPr="00971E6A">
        <w:rPr>
          <w:rFonts w:ascii="Times New Roman" w:hAnsi="Times New Roman" w:cs="Times New Roman"/>
          <w:sz w:val="24"/>
          <w:szCs w:val="24"/>
        </w:rPr>
        <w:t>These findings imply that coaches should continue to work on improving all players' pressure handling, rebounding, and concentration while concentrating on increasing defenders' self-assurance through mental skills training. To optimize team effectiveness, mental toughness training ought to be a crucial component for both attackers and defenders.</w:t>
      </w:r>
    </w:p>
    <w:p w14:paraId="4B2C1FC1" w14:textId="2CD1BD23" w:rsidR="006433AE" w:rsidRPr="006433AE" w:rsidRDefault="006433AE" w:rsidP="00EB3FF1">
      <w:pPr>
        <w:rPr>
          <w:rFonts w:ascii="Times New Roman" w:hAnsi="Times New Roman" w:cs="Times New Roman"/>
          <w:sz w:val="24"/>
          <w:szCs w:val="24"/>
          <w:u w:val="single"/>
          <w:lang w:val="en-US"/>
        </w:rPr>
      </w:pPr>
      <w:r w:rsidRPr="006433AE">
        <w:rPr>
          <w:rFonts w:ascii="Times New Roman" w:hAnsi="Times New Roman" w:cs="Times New Roman"/>
          <w:sz w:val="24"/>
          <w:szCs w:val="24"/>
          <w:u w:val="single"/>
          <w:lang w:val="en-US"/>
        </w:rPr>
        <w:t>LIMITATIONS AND FUTURE RESEARCH</w:t>
      </w:r>
    </w:p>
    <w:p w14:paraId="1C3FD613" w14:textId="77777777" w:rsidR="00A14AA5" w:rsidRPr="00A14AA5" w:rsidRDefault="00A14AA5" w:rsidP="0012757B">
      <w:pPr>
        <w:jc w:val="both"/>
        <w:rPr>
          <w:rFonts w:ascii="Times New Roman" w:hAnsi="Times New Roman" w:cs="Times New Roman"/>
          <w:sz w:val="24"/>
          <w:szCs w:val="24"/>
        </w:rPr>
      </w:pPr>
      <w:r w:rsidRPr="00A14AA5">
        <w:rPr>
          <w:rFonts w:ascii="Times New Roman" w:hAnsi="Times New Roman" w:cs="Times New Roman"/>
          <w:sz w:val="24"/>
          <w:szCs w:val="24"/>
        </w:rPr>
        <w:t>The limited sample size of the study restricts its generalizability; larger and more varied samples should be included in future studies. The evolution of mental toughness over time and in various settings could be investigated through longitudinal investigations. Adding more psychological concepts to this research, such as emotional intelligence, could improve our knowledge of position-specific mental toughness.</w:t>
      </w:r>
    </w:p>
    <w:p w14:paraId="1EB9687E" w14:textId="77777777" w:rsidR="00E43083" w:rsidRPr="00EB3FF1" w:rsidRDefault="00E43083" w:rsidP="00EB3FF1">
      <w:pPr>
        <w:rPr>
          <w:rFonts w:ascii="Times New Roman" w:hAnsi="Times New Roman" w:cs="Times New Roman"/>
          <w:sz w:val="24"/>
          <w:szCs w:val="24"/>
          <w:lang w:val="en-US"/>
        </w:rPr>
      </w:pPr>
    </w:p>
    <w:p w14:paraId="2F97E26E" w14:textId="5E81DBFE" w:rsidR="00CD0589" w:rsidRPr="00994BF8" w:rsidRDefault="00994BF8" w:rsidP="00CD0589">
      <w:pPr>
        <w:rPr>
          <w:rFonts w:ascii="Times New Roman" w:hAnsi="Times New Roman" w:cs="Times New Roman"/>
          <w:b/>
          <w:bCs/>
          <w:sz w:val="24"/>
          <w:szCs w:val="24"/>
          <w:lang w:val="en-US"/>
        </w:rPr>
      </w:pPr>
      <w:r w:rsidRPr="00994BF8">
        <w:rPr>
          <w:rFonts w:ascii="Times New Roman" w:hAnsi="Times New Roman" w:cs="Times New Roman"/>
          <w:b/>
          <w:bCs/>
          <w:sz w:val="24"/>
          <w:szCs w:val="24"/>
          <w:lang w:val="en-US"/>
        </w:rPr>
        <w:t xml:space="preserve">CONCLUSION  </w:t>
      </w:r>
    </w:p>
    <w:p w14:paraId="22E0415F" w14:textId="77777777" w:rsidR="00E81B6C" w:rsidRDefault="00D03A80" w:rsidP="00E81B6C">
      <w:pPr>
        <w:spacing w:after="0"/>
        <w:jc w:val="both"/>
        <w:rPr>
          <w:rFonts w:ascii="Times New Roman" w:hAnsi="Times New Roman" w:cs="Times New Roman"/>
          <w:sz w:val="24"/>
          <w:szCs w:val="24"/>
        </w:rPr>
      </w:pPr>
      <w:r w:rsidRPr="00D03A80">
        <w:rPr>
          <w:rFonts w:ascii="Times New Roman" w:hAnsi="Times New Roman" w:cs="Times New Roman"/>
          <w:sz w:val="24"/>
          <w:szCs w:val="24"/>
        </w:rPr>
        <w:t>When comparing forwards and defenders on the subscales measuring rebound ability, pressure handling, motivation, and focus, the study found no statistically significant differences in mental toughness. On the other hand, strikers seemed more confident than defenders. These results demonstrate the intricate interactions between mental toughness in various hockey positions. Some roles—like forwards—need more confidence than others, despite the fact that some characteristics might not change much. This could be because of the nature of their on-field</w:t>
      </w:r>
      <w:r w:rsidR="0012757B">
        <w:rPr>
          <w:rFonts w:ascii="Times New Roman" w:hAnsi="Times New Roman" w:cs="Times New Roman"/>
          <w:sz w:val="24"/>
          <w:szCs w:val="24"/>
        </w:rPr>
        <w:t xml:space="preserve"> </w:t>
      </w:r>
      <w:r w:rsidRPr="00D03A80">
        <w:rPr>
          <w:rFonts w:ascii="Times New Roman" w:hAnsi="Times New Roman" w:cs="Times New Roman"/>
          <w:sz w:val="24"/>
          <w:szCs w:val="24"/>
        </w:rPr>
        <w:t xml:space="preserve">responsibilities. </w:t>
      </w:r>
    </w:p>
    <w:p w14:paraId="3F57E94F" w14:textId="2ABCAA5B" w:rsidR="00D03A80" w:rsidRPr="00D03A80" w:rsidRDefault="00D03A80" w:rsidP="00E81B6C">
      <w:pPr>
        <w:jc w:val="both"/>
        <w:rPr>
          <w:rFonts w:ascii="Times New Roman" w:hAnsi="Times New Roman" w:cs="Times New Roman"/>
          <w:sz w:val="24"/>
          <w:szCs w:val="24"/>
        </w:rPr>
      </w:pPr>
      <w:r w:rsidRPr="00D03A80">
        <w:rPr>
          <w:rFonts w:ascii="Times New Roman" w:hAnsi="Times New Roman" w:cs="Times New Roman"/>
          <w:sz w:val="24"/>
          <w:szCs w:val="24"/>
        </w:rPr>
        <w:br/>
        <w:t xml:space="preserve">Subsequent investigations may delve deeper into the effects of position-specific training regimens on mental toughness, with an emphasis on customizing psychological therapies for hockey players. This study emphasizes the value of mental toughness in athletics and highlights how it affects athletes' overall performance and success. </w:t>
      </w:r>
    </w:p>
    <w:p w14:paraId="3D891EED" w14:textId="6D9AAC32" w:rsidR="00DA6180" w:rsidRPr="00CB42F5" w:rsidRDefault="00994BF8" w:rsidP="00DA6180">
      <w:pPr>
        <w:rPr>
          <w:rFonts w:ascii="Times New Roman" w:hAnsi="Times New Roman" w:cs="Times New Roman"/>
          <w:b/>
          <w:bCs/>
          <w:sz w:val="24"/>
          <w:szCs w:val="24"/>
          <w:lang w:val="en-US"/>
        </w:rPr>
      </w:pPr>
      <w:r w:rsidRPr="00994BF8">
        <w:rPr>
          <w:rFonts w:ascii="Times New Roman" w:hAnsi="Times New Roman" w:cs="Times New Roman"/>
          <w:b/>
          <w:bCs/>
          <w:sz w:val="24"/>
          <w:szCs w:val="24"/>
          <w:lang w:val="en-US"/>
        </w:rPr>
        <w:t>REFERENCES</w:t>
      </w:r>
      <w:r w:rsidR="00DA6180" w:rsidRPr="00994BF8">
        <w:rPr>
          <w:rFonts w:ascii="Times New Roman" w:hAnsi="Times New Roman" w:cs="Times New Roman"/>
          <w:b/>
          <w:bCs/>
          <w:sz w:val="24"/>
          <w:szCs w:val="24"/>
          <w:lang w:val="en-US"/>
        </w:rPr>
        <w:t xml:space="preserve"> </w:t>
      </w:r>
    </w:p>
    <w:p w14:paraId="19396A86" w14:textId="48288E12" w:rsidR="00DA6180" w:rsidRPr="00DA6180" w:rsidRDefault="00DA6180" w:rsidP="00DA6180">
      <w:pPr>
        <w:rPr>
          <w:rFonts w:ascii="Times New Roman" w:hAnsi="Times New Roman" w:cs="Times New Roman"/>
          <w:sz w:val="24"/>
          <w:szCs w:val="24"/>
          <w:lang w:val="en-US"/>
        </w:rPr>
      </w:pPr>
      <w:r w:rsidRPr="00DA6180">
        <w:rPr>
          <w:rFonts w:ascii="Times New Roman" w:hAnsi="Times New Roman" w:cs="Times New Roman"/>
          <w:sz w:val="24"/>
          <w:szCs w:val="24"/>
          <w:lang w:val="en-US"/>
        </w:rPr>
        <w:t xml:space="preserve">Bull, S. J., Shambrook, C. J., James, W., &amp; Brooks, J. E. (2005). Towards an understanding of mental toughness in elite English cricketers. Journal of Applied Sport Psychology, 17(3), 209-227.  </w:t>
      </w:r>
    </w:p>
    <w:p w14:paraId="1C85C0BF" w14:textId="47ACE6A1" w:rsidR="00DA6180" w:rsidRPr="00DA6180" w:rsidRDefault="00DA6180" w:rsidP="00DA6180">
      <w:pPr>
        <w:rPr>
          <w:rFonts w:ascii="Times New Roman" w:hAnsi="Times New Roman" w:cs="Times New Roman"/>
          <w:sz w:val="24"/>
          <w:szCs w:val="24"/>
          <w:lang w:val="en-US"/>
        </w:rPr>
      </w:pPr>
      <w:r w:rsidRPr="00DA6180">
        <w:rPr>
          <w:rFonts w:ascii="Times New Roman" w:hAnsi="Times New Roman" w:cs="Times New Roman"/>
          <w:sz w:val="24"/>
          <w:szCs w:val="24"/>
          <w:lang w:val="en-US"/>
        </w:rPr>
        <w:t xml:space="preserve">Clough, P. J., Earle, K., &amp; Sewell, D. (2002). Mental toughness: The concept and its measurement. In I. Cockerill (Ed.), Solutions in Sport Psychology (pp. 32-43). Thomson Learning.  </w:t>
      </w:r>
    </w:p>
    <w:p w14:paraId="01EC39C2" w14:textId="7980C3B6" w:rsidR="00DA6180" w:rsidRPr="00DA6180" w:rsidRDefault="00DA6180" w:rsidP="00DA6180">
      <w:pPr>
        <w:rPr>
          <w:rFonts w:ascii="Times New Roman" w:hAnsi="Times New Roman" w:cs="Times New Roman"/>
          <w:sz w:val="24"/>
          <w:szCs w:val="24"/>
          <w:lang w:val="en-US"/>
        </w:rPr>
      </w:pPr>
      <w:r w:rsidRPr="00DA6180">
        <w:rPr>
          <w:rFonts w:ascii="Times New Roman" w:hAnsi="Times New Roman" w:cs="Times New Roman"/>
          <w:sz w:val="24"/>
          <w:szCs w:val="24"/>
          <w:lang w:val="en-US"/>
        </w:rPr>
        <w:t xml:space="preserve">Connaughton, D., Wadey, R., Hanton, S., &amp; Jones, G. (2008). The development and maintenance of mental toughness: Perceptions of elite performers. Journal of Sports Sciences, 26(1), 83-95.  </w:t>
      </w:r>
    </w:p>
    <w:p w14:paraId="1D8B4469" w14:textId="676236C5" w:rsidR="00DA6180" w:rsidRPr="00DA6180" w:rsidRDefault="00DA6180" w:rsidP="00DA6180">
      <w:pPr>
        <w:rPr>
          <w:rFonts w:ascii="Times New Roman" w:hAnsi="Times New Roman" w:cs="Times New Roman"/>
          <w:sz w:val="24"/>
          <w:szCs w:val="24"/>
          <w:lang w:val="en-US"/>
        </w:rPr>
      </w:pPr>
      <w:r w:rsidRPr="00DA6180">
        <w:rPr>
          <w:rFonts w:ascii="Times New Roman" w:hAnsi="Times New Roman" w:cs="Times New Roman"/>
          <w:sz w:val="24"/>
          <w:szCs w:val="24"/>
          <w:lang w:val="en-US"/>
        </w:rPr>
        <w:t xml:space="preserve">Crust, L. (2007). Mental toughness in sport: A review. International Journal of Sport and Exercise Psychology, 5(3), 270-290.  </w:t>
      </w:r>
    </w:p>
    <w:p w14:paraId="6EA7439A" w14:textId="0BD0CB36" w:rsidR="00DA6180" w:rsidRPr="00DA6180" w:rsidRDefault="00DA6180" w:rsidP="00DA6180">
      <w:pPr>
        <w:rPr>
          <w:rFonts w:ascii="Times New Roman" w:hAnsi="Times New Roman" w:cs="Times New Roman"/>
          <w:sz w:val="24"/>
          <w:szCs w:val="24"/>
          <w:lang w:val="en-US"/>
        </w:rPr>
      </w:pPr>
      <w:r w:rsidRPr="00DA6180">
        <w:rPr>
          <w:rFonts w:ascii="Times New Roman" w:hAnsi="Times New Roman" w:cs="Times New Roman"/>
          <w:sz w:val="24"/>
          <w:szCs w:val="24"/>
          <w:lang w:val="en-US"/>
        </w:rPr>
        <w:t xml:space="preserve">Golby, J., &amp; Sheard, M. (2004). Mental toughness and hardiness at different levels of rugby league. Personality and Individual Differences, 37(5), 933-942.  </w:t>
      </w:r>
    </w:p>
    <w:p w14:paraId="294763A4" w14:textId="6BAAF413" w:rsidR="00DA6180" w:rsidRPr="00DA6180" w:rsidRDefault="00DA6180" w:rsidP="00DA6180">
      <w:pPr>
        <w:rPr>
          <w:rFonts w:ascii="Times New Roman" w:hAnsi="Times New Roman" w:cs="Times New Roman"/>
          <w:sz w:val="24"/>
          <w:szCs w:val="24"/>
          <w:lang w:val="en-US"/>
        </w:rPr>
      </w:pPr>
      <w:r w:rsidRPr="00DA6180">
        <w:rPr>
          <w:rFonts w:ascii="Times New Roman" w:hAnsi="Times New Roman" w:cs="Times New Roman"/>
          <w:sz w:val="24"/>
          <w:szCs w:val="24"/>
          <w:lang w:val="en-US"/>
        </w:rPr>
        <w:t xml:space="preserve">Gould, D., Dieffenbach, K., &amp; Moffett, A. (2002). Psychological characteristics and their development in Olympic champions. Journal of Applied Sport Psychology, 14(3), 172-204.  </w:t>
      </w:r>
    </w:p>
    <w:p w14:paraId="7EB6DDAC" w14:textId="14359444" w:rsidR="00DA6180" w:rsidRPr="00DA6180" w:rsidRDefault="00DA6180" w:rsidP="00DA6180">
      <w:pPr>
        <w:rPr>
          <w:rFonts w:ascii="Times New Roman" w:hAnsi="Times New Roman" w:cs="Times New Roman"/>
          <w:sz w:val="24"/>
          <w:szCs w:val="24"/>
          <w:lang w:val="en-US"/>
        </w:rPr>
      </w:pPr>
      <w:r w:rsidRPr="00DA6180">
        <w:rPr>
          <w:rFonts w:ascii="Times New Roman" w:hAnsi="Times New Roman" w:cs="Times New Roman"/>
          <w:sz w:val="24"/>
          <w:szCs w:val="24"/>
          <w:lang w:val="en-US"/>
        </w:rPr>
        <w:t xml:space="preserve">Gucciardi, D. F., &amp; Gordon, S. (2009). Development and preliminary validation of the Cricket Mental Toughness Inventory (CMTI). Journal of Sports Sciences, 27(12), 1293-1310.  </w:t>
      </w:r>
    </w:p>
    <w:p w14:paraId="72EF5FB1" w14:textId="33C4F987" w:rsidR="00CB42F5" w:rsidRPr="00DA6180" w:rsidRDefault="00DA6180" w:rsidP="00DA6180">
      <w:pPr>
        <w:rPr>
          <w:rFonts w:ascii="Times New Roman" w:hAnsi="Times New Roman" w:cs="Times New Roman"/>
          <w:sz w:val="24"/>
          <w:szCs w:val="24"/>
          <w:lang w:val="en-US"/>
        </w:rPr>
      </w:pPr>
      <w:r w:rsidRPr="00DA6180">
        <w:rPr>
          <w:rFonts w:ascii="Times New Roman" w:hAnsi="Times New Roman" w:cs="Times New Roman"/>
          <w:sz w:val="24"/>
          <w:szCs w:val="24"/>
          <w:lang w:val="en-US"/>
        </w:rPr>
        <w:t xml:space="preserve">Hardy, L., Bell, J., &amp; Beattie, S. (2014). A neuropsychological model of mentally tough behavior. Journal of Personality, 82(1), 69-81. </w:t>
      </w:r>
    </w:p>
    <w:p w14:paraId="65C2EC02" w14:textId="340CBE4A" w:rsidR="00DA6180" w:rsidRPr="00DA6180" w:rsidRDefault="00DA6180" w:rsidP="00DA6180">
      <w:pPr>
        <w:rPr>
          <w:rFonts w:ascii="Times New Roman" w:hAnsi="Times New Roman" w:cs="Times New Roman"/>
          <w:sz w:val="24"/>
          <w:szCs w:val="24"/>
          <w:lang w:val="en-US"/>
        </w:rPr>
      </w:pPr>
      <w:r w:rsidRPr="00DA6180">
        <w:rPr>
          <w:rFonts w:ascii="Times New Roman" w:hAnsi="Times New Roman" w:cs="Times New Roman"/>
          <w:sz w:val="24"/>
          <w:szCs w:val="24"/>
          <w:lang w:val="en-US"/>
        </w:rPr>
        <w:t xml:space="preserve">Holland, M. J., &amp; Collins, D. (2008). Navigating the performance pathways: The role of psychological skills. Journal of Applied Sport Psychology, 20(2), 173-187.  </w:t>
      </w:r>
    </w:p>
    <w:p w14:paraId="4789672E" w14:textId="05B6EBEE" w:rsidR="00DA6180" w:rsidRPr="00DA6180" w:rsidRDefault="00DA6180" w:rsidP="00DA6180">
      <w:pPr>
        <w:rPr>
          <w:rFonts w:ascii="Times New Roman" w:hAnsi="Times New Roman" w:cs="Times New Roman"/>
          <w:sz w:val="24"/>
          <w:szCs w:val="24"/>
          <w:lang w:val="en-US"/>
        </w:rPr>
      </w:pPr>
      <w:r w:rsidRPr="00DA6180">
        <w:rPr>
          <w:rFonts w:ascii="Times New Roman" w:hAnsi="Times New Roman" w:cs="Times New Roman"/>
          <w:sz w:val="24"/>
          <w:szCs w:val="24"/>
          <w:lang w:val="en-US"/>
        </w:rPr>
        <w:t xml:space="preserve">Jones, G., Hanton, S., &amp; Connaughton, D. (2007). A framework of mental toughness in the world’s best performers. The Sport Psychologist, 21(2), 243–264.  </w:t>
      </w:r>
    </w:p>
    <w:p w14:paraId="5501884D" w14:textId="0740AE44" w:rsidR="00DA6180" w:rsidRPr="00DA6180" w:rsidRDefault="00DA6180" w:rsidP="00DA6180">
      <w:pPr>
        <w:rPr>
          <w:rFonts w:ascii="Times New Roman" w:hAnsi="Times New Roman" w:cs="Times New Roman"/>
          <w:sz w:val="24"/>
          <w:szCs w:val="24"/>
          <w:lang w:val="en-US"/>
        </w:rPr>
      </w:pPr>
      <w:r w:rsidRPr="00DA6180">
        <w:rPr>
          <w:rFonts w:ascii="Times New Roman" w:hAnsi="Times New Roman" w:cs="Times New Roman"/>
          <w:sz w:val="24"/>
          <w:szCs w:val="24"/>
          <w:lang w:val="en-US"/>
        </w:rPr>
        <w:lastRenderedPageBreak/>
        <w:t xml:space="preserve">Kremer, J., Moran, A., Walker, G., &amp; Craig, C. (2011). Key Concepts in Sport Psychology. SAGE Publications Ltd.  </w:t>
      </w:r>
    </w:p>
    <w:p w14:paraId="6AE82A20" w14:textId="1F6966A2" w:rsidR="00DA6180" w:rsidRPr="00DA6180" w:rsidRDefault="00DA6180" w:rsidP="00DA6180">
      <w:pPr>
        <w:rPr>
          <w:rFonts w:ascii="Times New Roman" w:hAnsi="Times New Roman" w:cs="Times New Roman"/>
          <w:sz w:val="24"/>
          <w:szCs w:val="24"/>
          <w:lang w:val="en-US"/>
        </w:rPr>
      </w:pPr>
      <w:r w:rsidRPr="00DA6180">
        <w:rPr>
          <w:rFonts w:ascii="Times New Roman" w:hAnsi="Times New Roman" w:cs="Times New Roman"/>
          <w:sz w:val="24"/>
          <w:szCs w:val="24"/>
          <w:lang w:val="en-US"/>
        </w:rPr>
        <w:t xml:space="preserve">Loehr, J. (1995). The New Toughness Training for Sports: Mental Emotional, and Physical Conditioning from One of the World's Premier Sports Psychologists. Plume.  </w:t>
      </w:r>
    </w:p>
    <w:p w14:paraId="41C59320" w14:textId="086B736D" w:rsidR="00DA6180" w:rsidRPr="00DA6180" w:rsidRDefault="00DA6180" w:rsidP="00DA6180">
      <w:pPr>
        <w:rPr>
          <w:rFonts w:ascii="Times New Roman" w:hAnsi="Times New Roman" w:cs="Times New Roman"/>
          <w:sz w:val="24"/>
          <w:szCs w:val="24"/>
          <w:lang w:val="en-US"/>
        </w:rPr>
      </w:pPr>
      <w:r w:rsidRPr="00DA6180">
        <w:rPr>
          <w:rFonts w:ascii="Times New Roman" w:hAnsi="Times New Roman" w:cs="Times New Roman"/>
          <w:sz w:val="24"/>
          <w:szCs w:val="24"/>
          <w:lang w:val="en-US"/>
        </w:rPr>
        <w:t xml:space="preserve">Sheard, M. (2013). Mental Toughness: The Mindset Behind Sporting Achievement. Routledge.  </w:t>
      </w:r>
    </w:p>
    <w:p w14:paraId="53AA0B0A" w14:textId="7F56302B" w:rsidR="00DA6180" w:rsidRPr="00DA6180" w:rsidRDefault="00DA6180" w:rsidP="00DA6180">
      <w:pPr>
        <w:rPr>
          <w:rFonts w:ascii="Times New Roman" w:hAnsi="Times New Roman" w:cs="Times New Roman"/>
          <w:sz w:val="24"/>
          <w:szCs w:val="24"/>
          <w:lang w:val="en-US"/>
        </w:rPr>
      </w:pPr>
      <w:r w:rsidRPr="00DA6180">
        <w:rPr>
          <w:rFonts w:ascii="Times New Roman" w:hAnsi="Times New Roman" w:cs="Times New Roman"/>
          <w:sz w:val="24"/>
          <w:szCs w:val="24"/>
          <w:lang w:val="en-US"/>
        </w:rPr>
        <w:t xml:space="preserve">Weinberg, R., &amp; Gould, D. (2014). Foundations of Sport and Exercise Psychology (6th ed.). Human Kinetics.  </w:t>
      </w:r>
    </w:p>
    <w:p w14:paraId="0D3CFBDC" w14:textId="19D4CB53" w:rsidR="00CD0589" w:rsidRDefault="00CD0589" w:rsidP="00DA6180">
      <w:pPr>
        <w:rPr>
          <w:rFonts w:ascii="Times New Roman" w:hAnsi="Times New Roman" w:cs="Times New Roman"/>
          <w:sz w:val="24"/>
          <w:szCs w:val="24"/>
          <w:lang w:val="en-US"/>
        </w:rPr>
      </w:pPr>
    </w:p>
    <w:p w14:paraId="13557BBA" w14:textId="77777777" w:rsidR="00626861" w:rsidRDefault="00626861" w:rsidP="00DA6180">
      <w:pPr>
        <w:rPr>
          <w:rFonts w:ascii="Times New Roman" w:hAnsi="Times New Roman" w:cs="Times New Roman"/>
          <w:sz w:val="24"/>
          <w:szCs w:val="24"/>
          <w:lang w:val="en-US"/>
        </w:rPr>
      </w:pPr>
    </w:p>
    <w:p w14:paraId="10399920" w14:textId="77777777" w:rsidR="00626861" w:rsidRDefault="00626861" w:rsidP="00DA6180">
      <w:pPr>
        <w:rPr>
          <w:rFonts w:ascii="Times New Roman" w:hAnsi="Times New Roman" w:cs="Times New Roman"/>
          <w:sz w:val="24"/>
          <w:szCs w:val="24"/>
          <w:lang w:val="en-US"/>
        </w:rPr>
      </w:pPr>
    </w:p>
    <w:p w14:paraId="7542C64B" w14:textId="77777777" w:rsidR="00626861" w:rsidRDefault="00626861" w:rsidP="00DA6180">
      <w:pPr>
        <w:rPr>
          <w:rFonts w:ascii="Times New Roman" w:hAnsi="Times New Roman" w:cs="Times New Roman"/>
          <w:sz w:val="24"/>
          <w:szCs w:val="24"/>
          <w:lang w:val="en-US"/>
        </w:rPr>
      </w:pPr>
    </w:p>
    <w:p w14:paraId="21D260E8" w14:textId="77777777" w:rsidR="00626861" w:rsidRDefault="00626861" w:rsidP="00DA6180">
      <w:pPr>
        <w:rPr>
          <w:rFonts w:ascii="Times New Roman" w:hAnsi="Times New Roman" w:cs="Times New Roman"/>
          <w:sz w:val="24"/>
          <w:szCs w:val="24"/>
          <w:lang w:val="en-US"/>
        </w:rPr>
      </w:pPr>
    </w:p>
    <w:p w14:paraId="075E90CC" w14:textId="77777777" w:rsidR="00626861" w:rsidRDefault="00626861" w:rsidP="00DA6180">
      <w:pPr>
        <w:rPr>
          <w:rFonts w:ascii="Times New Roman" w:hAnsi="Times New Roman" w:cs="Times New Roman"/>
          <w:sz w:val="24"/>
          <w:szCs w:val="24"/>
          <w:lang w:val="en-US"/>
        </w:rPr>
      </w:pPr>
    </w:p>
    <w:p w14:paraId="700748E5" w14:textId="77777777" w:rsidR="00626861" w:rsidRDefault="00626861" w:rsidP="00DA6180">
      <w:pPr>
        <w:rPr>
          <w:rFonts w:ascii="Times New Roman" w:hAnsi="Times New Roman" w:cs="Times New Roman"/>
          <w:sz w:val="24"/>
          <w:szCs w:val="24"/>
          <w:lang w:val="en-US"/>
        </w:rPr>
      </w:pPr>
    </w:p>
    <w:p w14:paraId="0BFEAE60" w14:textId="77777777" w:rsidR="00626861" w:rsidRDefault="00626861" w:rsidP="00DA6180">
      <w:pPr>
        <w:rPr>
          <w:rFonts w:ascii="Times New Roman" w:hAnsi="Times New Roman" w:cs="Times New Roman"/>
          <w:sz w:val="24"/>
          <w:szCs w:val="24"/>
          <w:lang w:val="en-US"/>
        </w:rPr>
      </w:pPr>
    </w:p>
    <w:p w14:paraId="3C710C91" w14:textId="77777777" w:rsidR="00626861" w:rsidRDefault="00626861" w:rsidP="00DA6180">
      <w:pPr>
        <w:rPr>
          <w:rFonts w:ascii="Times New Roman" w:hAnsi="Times New Roman" w:cs="Times New Roman"/>
          <w:sz w:val="24"/>
          <w:szCs w:val="24"/>
          <w:lang w:val="en-US"/>
        </w:rPr>
      </w:pPr>
    </w:p>
    <w:p w14:paraId="7635B5E8" w14:textId="77777777" w:rsidR="00626861" w:rsidRDefault="00626861" w:rsidP="00DA6180">
      <w:pPr>
        <w:rPr>
          <w:rFonts w:ascii="Times New Roman" w:hAnsi="Times New Roman" w:cs="Times New Roman"/>
          <w:sz w:val="24"/>
          <w:szCs w:val="24"/>
          <w:lang w:val="en-US"/>
        </w:rPr>
      </w:pPr>
    </w:p>
    <w:p w14:paraId="157A4B11" w14:textId="77777777" w:rsidR="00626861" w:rsidRDefault="00626861" w:rsidP="00DA6180">
      <w:pPr>
        <w:rPr>
          <w:rFonts w:ascii="Times New Roman" w:hAnsi="Times New Roman" w:cs="Times New Roman"/>
          <w:sz w:val="24"/>
          <w:szCs w:val="24"/>
          <w:lang w:val="en-US"/>
        </w:rPr>
      </w:pPr>
    </w:p>
    <w:p w14:paraId="528C8EE0" w14:textId="77777777" w:rsidR="00626861" w:rsidRDefault="00626861" w:rsidP="00DA6180">
      <w:pPr>
        <w:rPr>
          <w:rFonts w:ascii="Times New Roman" w:hAnsi="Times New Roman" w:cs="Times New Roman"/>
          <w:sz w:val="24"/>
          <w:szCs w:val="24"/>
          <w:lang w:val="en-US"/>
        </w:rPr>
      </w:pPr>
    </w:p>
    <w:p w14:paraId="69442746" w14:textId="77777777" w:rsidR="00626861" w:rsidRDefault="00626861" w:rsidP="00DA6180">
      <w:pPr>
        <w:rPr>
          <w:rFonts w:ascii="Times New Roman" w:hAnsi="Times New Roman" w:cs="Times New Roman"/>
          <w:sz w:val="24"/>
          <w:szCs w:val="24"/>
          <w:lang w:val="en-US"/>
        </w:rPr>
      </w:pPr>
    </w:p>
    <w:p w14:paraId="7F38A424" w14:textId="77777777" w:rsidR="00626861" w:rsidRDefault="00626861" w:rsidP="00DA6180">
      <w:pPr>
        <w:rPr>
          <w:rFonts w:ascii="Times New Roman" w:hAnsi="Times New Roman" w:cs="Times New Roman"/>
          <w:sz w:val="24"/>
          <w:szCs w:val="24"/>
          <w:lang w:val="en-US"/>
        </w:rPr>
      </w:pPr>
    </w:p>
    <w:p w14:paraId="3C5110E7" w14:textId="77777777" w:rsidR="00626861" w:rsidRDefault="00626861" w:rsidP="00DA6180">
      <w:pPr>
        <w:rPr>
          <w:rFonts w:ascii="Times New Roman" w:hAnsi="Times New Roman" w:cs="Times New Roman"/>
          <w:sz w:val="24"/>
          <w:szCs w:val="24"/>
          <w:lang w:val="en-US"/>
        </w:rPr>
      </w:pPr>
    </w:p>
    <w:p w14:paraId="2C81C3E6" w14:textId="77777777" w:rsidR="00626861" w:rsidRDefault="00626861" w:rsidP="00DA6180">
      <w:pPr>
        <w:rPr>
          <w:rFonts w:ascii="Times New Roman" w:hAnsi="Times New Roman" w:cs="Times New Roman"/>
          <w:sz w:val="24"/>
          <w:szCs w:val="24"/>
          <w:lang w:val="en-US"/>
        </w:rPr>
      </w:pPr>
    </w:p>
    <w:p w14:paraId="3B1D7408" w14:textId="77777777" w:rsidR="00626861" w:rsidRDefault="00626861" w:rsidP="00DA6180">
      <w:pPr>
        <w:rPr>
          <w:rFonts w:ascii="Times New Roman" w:hAnsi="Times New Roman" w:cs="Times New Roman"/>
          <w:sz w:val="24"/>
          <w:szCs w:val="24"/>
          <w:lang w:val="en-US"/>
        </w:rPr>
      </w:pPr>
    </w:p>
    <w:p w14:paraId="37C79878" w14:textId="77777777" w:rsidR="00626861" w:rsidRDefault="00626861" w:rsidP="00DA6180">
      <w:pPr>
        <w:rPr>
          <w:rFonts w:ascii="Times New Roman" w:hAnsi="Times New Roman" w:cs="Times New Roman"/>
          <w:sz w:val="24"/>
          <w:szCs w:val="24"/>
          <w:lang w:val="en-US"/>
        </w:rPr>
      </w:pPr>
    </w:p>
    <w:p w14:paraId="149B9281" w14:textId="77777777" w:rsidR="00626861" w:rsidRDefault="00626861" w:rsidP="00DA6180">
      <w:pPr>
        <w:rPr>
          <w:rFonts w:ascii="Times New Roman" w:hAnsi="Times New Roman" w:cs="Times New Roman"/>
          <w:sz w:val="24"/>
          <w:szCs w:val="24"/>
          <w:lang w:val="en-US"/>
        </w:rPr>
      </w:pPr>
    </w:p>
    <w:p w14:paraId="2EAB5BF8" w14:textId="77777777" w:rsidR="00626861" w:rsidRDefault="00626861" w:rsidP="00DA6180">
      <w:pPr>
        <w:rPr>
          <w:rFonts w:ascii="Times New Roman" w:hAnsi="Times New Roman" w:cs="Times New Roman"/>
          <w:sz w:val="24"/>
          <w:szCs w:val="24"/>
          <w:lang w:val="en-US"/>
        </w:rPr>
      </w:pPr>
    </w:p>
    <w:p w14:paraId="703D1DE5" w14:textId="77777777" w:rsidR="00626861" w:rsidRDefault="00626861" w:rsidP="00DA6180">
      <w:pPr>
        <w:rPr>
          <w:rFonts w:ascii="Times New Roman" w:hAnsi="Times New Roman" w:cs="Times New Roman"/>
          <w:sz w:val="24"/>
          <w:szCs w:val="24"/>
          <w:lang w:val="en-US"/>
        </w:rPr>
      </w:pPr>
    </w:p>
    <w:p w14:paraId="62D9A4E2" w14:textId="77777777" w:rsidR="00626861" w:rsidRDefault="00626861" w:rsidP="00583EB1">
      <w:pPr>
        <w:rPr>
          <w:rFonts w:ascii="Times New Roman" w:hAnsi="Times New Roman" w:cs="Times New Roman"/>
          <w:sz w:val="24"/>
          <w:szCs w:val="24"/>
          <w:lang w:val="en-US"/>
        </w:rPr>
      </w:pPr>
    </w:p>
    <w:sectPr w:rsidR="006268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16"/>
    <w:rsid w:val="000062D1"/>
    <w:rsid w:val="00012C52"/>
    <w:rsid w:val="0002473F"/>
    <w:rsid w:val="00030D58"/>
    <w:rsid w:val="00041A27"/>
    <w:rsid w:val="00056155"/>
    <w:rsid w:val="00067957"/>
    <w:rsid w:val="00070F52"/>
    <w:rsid w:val="00075059"/>
    <w:rsid w:val="000911AC"/>
    <w:rsid w:val="000B4616"/>
    <w:rsid w:val="000C7E29"/>
    <w:rsid w:val="000D6957"/>
    <w:rsid w:val="000D6B82"/>
    <w:rsid w:val="000E078B"/>
    <w:rsid w:val="000E1182"/>
    <w:rsid w:val="000F476D"/>
    <w:rsid w:val="00102232"/>
    <w:rsid w:val="001133EB"/>
    <w:rsid w:val="001153A2"/>
    <w:rsid w:val="00116CDB"/>
    <w:rsid w:val="0012757B"/>
    <w:rsid w:val="001346C9"/>
    <w:rsid w:val="0014749B"/>
    <w:rsid w:val="0017733C"/>
    <w:rsid w:val="0019631D"/>
    <w:rsid w:val="00196C83"/>
    <w:rsid w:val="001D3100"/>
    <w:rsid w:val="001F110A"/>
    <w:rsid w:val="001F27BB"/>
    <w:rsid w:val="0020157E"/>
    <w:rsid w:val="002175EF"/>
    <w:rsid w:val="00255A89"/>
    <w:rsid w:val="00255FA5"/>
    <w:rsid w:val="00261D07"/>
    <w:rsid w:val="002707A5"/>
    <w:rsid w:val="0027379E"/>
    <w:rsid w:val="0027774A"/>
    <w:rsid w:val="002806D1"/>
    <w:rsid w:val="00283C4C"/>
    <w:rsid w:val="00292474"/>
    <w:rsid w:val="002929D5"/>
    <w:rsid w:val="00296EBD"/>
    <w:rsid w:val="002A5671"/>
    <w:rsid w:val="002A615F"/>
    <w:rsid w:val="002C0DAC"/>
    <w:rsid w:val="002D45E2"/>
    <w:rsid w:val="002E5C8A"/>
    <w:rsid w:val="0030023D"/>
    <w:rsid w:val="00304F4D"/>
    <w:rsid w:val="00307853"/>
    <w:rsid w:val="003162F4"/>
    <w:rsid w:val="003525D8"/>
    <w:rsid w:val="0035696A"/>
    <w:rsid w:val="00357961"/>
    <w:rsid w:val="00361224"/>
    <w:rsid w:val="003811CC"/>
    <w:rsid w:val="003947A8"/>
    <w:rsid w:val="003B5E5E"/>
    <w:rsid w:val="003D0031"/>
    <w:rsid w:val="003D1685"/>
    <w:rsid w:val="003D2AC1"/>
    <w:rsid w:val="003D363D"/>
    <w:rsid w:val="003E6D96"/>
    <w:rsid w:val="003F0FAC"/>
    <w:rsid w:val="00403CBC"/>
    <w:rsid w:val="00412ED7"/>
    <w:rsid w:val="00422AB8"/>
    <w:rsid w:val="0043734F"/>
    <w:rsid w:val="004407FF"/>
    <w:rsid w:val="00442E65"/>
    <w:rsid w:val="004456AC"/>
    <w:rsid w:val="0046192A"/>
    <w:rsid w:val="004663A3"/>
    <w:rsid w:val="00474484"/>
    <w:rsid w:val="00474734"/>
    <w:rsid w:val="00491CE3"/>
    <w:rsid w:val="004A3B21"/>
    <w:rsid w:val="004B6B89"/>
    <w:rsid w:val="004C2EE2"/>
    <w:rsid w:val="004C7393"/>
    <w:rsid w:val="004E42C2"/>
    <w:rsid w:val="004E65E4"/>
    <w:rsid w:val="004F0396"/>
    <w:rsid w:val="004F05D4"/>
    <w:rsid w:val="0050275E"/>
    <w:rsid w:val="00512C65"/>
    <w:rsid w:val="00534861"/>
    <w:rsid w:val="0055101C"/>
    <w:rsid w:val="0055166D"/>
    <w:rsid w:val="00556897"/>
    <w:rsid w:val="005601AE"/>
    <w:rsid w:val="00563256"/>
    <w:rsid w:val="00583EB1"/>
    <w:rsid w:val="005929B9"/>
    <w:rsid w:val="005C7216"/>
    <w:rsid w:val="005D2290"/>
    <w:rsid w:val="005E2742"/>
    <w:rsid w:val="005E2AC5"/>
    <w:rsid w:val="005F0A7E"/>
    <w:rsid w:val="005F6F65"/>
    <w:rsid w:val="00626861"/>
    <w:rsid w:val="006433AE"/>
    <w:rsid w:val="00646B70"/>
    <w:rsid w:val="00664632"/>
    <w:rsid w:val="00665F4E"/>
    <w:rsid w:val="00687336"/>
    <w:rsid w:val="00687F6C"/>
    <w:rsid w:val="006A51C9"/>
    <w:rsid w:val="006D0320"/>
    <w:rsid w:val="006D0505"/>
    <w:rsid w:val="006D13EB"/>
    <w:rsid w:val="006D6CDC"/>
    <w:rsid w:val="006D6ECD"/>
    <w:rsid w:val="006F6ECF"/>
    <w:rsid w:val="007014C5"/>
    <w:rsid w:val="00722116"/>
    <w:rsid w:val="0072215A"/>
    <w:rsid w:val="007230F8"/>
    <w:rsid w:val="00727DAD"/>
    <w:rsid w:val="00746213"/>
    <w:rsid w:val="00773836"/>
    <w:rsid w:val="00776BB6"/>
    <w:rsid w:val="0077754B"/>
    <w:rsid w:val="00790909"/>
    <w:rsid w:val="00790D07"/>
    <w:rsid w:val="007B359A"/>
    <w:rsid w:val="007C52BF"/>
    <w:rsid w:val="007C6AAD"/>
    <w:rsid w:val="007D5594"/>
    <w:rsid w:val="007E1E81"/>
    <w:rsid w:val="007F36DA"/>
    <w:rsid w:val="00801B03"/>
    <w:rsid w:val="00815673"/>
    <w:rsid w:val="008238DA"/>
    <w:rsid w:val="008244CE"/>
    <w:rsid w:val="00827146"/>
    <w:rsid w:val="00842818"/>
    <w:rsid w:val="00865E3A"/>
    <w:rsid w:val="00872B36"/>
    <w:rsid w:val="0088227C"/>
    <w:rsid w:val="008877B4"/>
    <w:rsid w:val="00903C29"/>
    <w:rsid w:val="00935793"/>
    <w:rsid w:val="00937237"/>
    <w:rsid w:val="00942C20"/>
    <w:rsid w:val="00952E70"/>
    <w:rsid w:val="0097006A"/>
    <w:rsid w:val="00971E6A"/>
    <w:rsid w:val="009755C8"/>
    <w:rsid w:val="00991DCF"/>
    <w:rsid w:val="009937BB"/>
    <w:rsid w:val="00994BF8"/>
    <w:rsid w:val="009A3411"/>
    <w:rsid w:val="009C02BA"/>
    <w:rsid w:val="009C3A4B"/>
    <w:rsid w:val="009D1387"/>
    <w:rsid w:val="009D2D8C"/>
    <w:rsid w:val="009D44AA"/>
    <w:rsid w:val="009F61E3"/>
    <w:rsid w:val="00A06CD9"/>
    <w:rsid w:val="00A13D32"/>
    <w:rsid w:val="00A14AA5"/>
    <w:rsid w:val="00A3488F"/>
    <w:rsid w:val="00A40C86"/>
    <w:rsid w:val="00A60FEC"/>
    <w:rsid w:val="00A870CC"/>
    <w:rsid w:val="00AB6C17"/>
    <w:rsid w:val="00AE1B1B"/>
    <w:rsid w:val="00AE3065"/>
    <w:rsid w:val="00AE4B35"/>
    <w:rsid w:val="00AF3248"/>
    <w:rsid w:val="00B32C80"/>
    <w:rsid w:val="00B3554C"/>
    <w:rsid w:val="00B47C29"/>
    <w:rsid w:val="00B52E6B"/>
    <w:rsid w:val="00B714CB"/>
    <w:rsid w:val="00B75F32"/>
    <w:rsid w:val="00B768F4"/>
    <w:rsid w:val="00B77812"/>
    <w:rsid w:val="00B826CD"/>
    <w:rsid w:val="00BA3B74"/>
    <w:rsid w:val="00BB3B47"/>
    <w:rsid w:val="00BB61D8"/>
    <w:rsid w:val="00BB70F4"/>
    <w:rsid w:val="00BC464E"/>
    <w:rsid w:val="00BC5C86"/>
    <w:rsid w:val="00BE2408"/>
    <w:rsid w:val="00C212AF"/>
    <w:rsid w:val="00C2317A"/>
    <w:rsid w:val="00C237CA"/>
    <w:rsid w:val="00C37C7A"/>
    <w:rsid w:val="00C42C2A"/>
    <w:rsid w:val="00C440EE"/>
    <w:rsid w:val="00C47788"/>
    <w:rsid w:val="00C61BF6"/>
    <w:rsid w:val="00C62C98"/>
    <w:rsid w:val="00C7056D"/>
    <w:rsid w:val="00C74C53"/>
    <w:rsid w:val="00C76EAD"/>
    <w:rsid w:val="00C80CC6"/>
    <w:rsid w:val="00C969E2"/>
    <w:rsid w:val="00CA04FB"/>
    <w:rsid w:val="00CB42F5"/>
    <w:rsid w:val="00CC2367"/>
    <w:rsid w:val="00CD0589"/>
    <w:rsid w:val="00CF161A"/>
    <w:rsid w:val="00CF21B5"/>
    <w:rsid w:val="00D03A80"/>
    <w:rsid w:val="00D3744A"/>
    <w:rsid w:val="00D5076E"/>
    <w:rsid w:val="00D53A0E"/>
    <w:rsid w:val="00D54543"/>
    <w:rsid w:val="00D56A15"/>
    <w:rsid w:val="00D56DC9"/>
    <w:rsid w:val="00D62FE2"/>
    <w:rsid w:val="00D62FFD"/>
    <w:rsid w:val="00D7679C"/>
    <w:rsid w:val="00D77194"/>
    <w:rsid w:val="00D8067D"/>
    <w:rsid w:val="00DA6180"/>
    <w:rsid w:val="00DC15B8"/>
    <w:rsid w:val="00DE7749"/>
    <w:rsid w:val="00E0063C"/>
    <w:rsid w:val="00E00D69"/>
    <w:rsid w:val="00E102A3"/>
    <w:rsid w:val="00E12FF2"/>
    <w:rsid w:val="00E146D9"/>
    <w:rsid w:val="00E16ECC"/>
    <w:rsid w:val="00E305C1"/>
    <w:rsid w:val="00E43083"/>
    <w:rsid w:val="00E45D02"/>
    <w:rsid w:val="00E81B6C"/>
    <w:rsid w:val="00EA3C73"/>
    <w:rsid w:val="00EA3D33"/>
    <w:rsid w:val="00EB3FF1"/>
    <w:rsid w:val="00EC0068"/>
    <w:rsid w:val="00EC54D4"/>
    <w:rsid w:val="00EE2AA7"/>
    <w:rsid w:val="00EE5BB8"/>
    <w:rsid w:val="00EE74FC"/>
    <w:rsid w:val="00F1404C"/>
    <w:rsid w:val="00F20EDC"/>
    <w:rsid w:val="00F3295B"/>
    <w:rsid w:val="00F4102D"/>
    <w:rsid w:val="00F51985"/>
    <w:rsid w:val="00F56655"/>
    <w:rsid w:val="00F62BB4"/>
    <w:rsid w:val="00F67CC9"/>
    <w:rsid w:val="00F7056A"/>
    <w:rsid w:val="00F706F4"/>
    <w:rsid w:val="00F75105"/>
    <w:rsid w:val="00F777F7"/>
    <w:rsid w:val="00F77D6A"/>
    <w:rsid w:val="00F84167"/>
    <w:rsid w:val="00F85BFE"/>
    <w:rsid w:val="00F91112"/>
    <w:rsid w:val="00FA19D6"/>
    <w:rsid w:val="00FA3505"/>
    <w:rsid w:val="00FB5D41"/>
    <w:rsid w:val="00FD0D74"/>
    <w:rsid w:val="00FD1B3E"/>
    <w:rsid w:val="00FD1B4A"/>
    <w:rsid w:val="00FF17EB"/>
    <w:rsid w:val="00FF1948"/>
    <w:rsid w:val="00FF43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E896"/>
  <w15:chartTrackingRefBased/>
  <w15:docId w15:val="{B900F25D-77EB-46A5-B746-EB79E1B4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83E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C72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5C72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37558">
      <w:bodyDiv w:val="1"/>
      <w:marLeft w:val="0"/>
      <w:marRight w:val="0"/>
      <w:marTop w:val="0"/>
      <w:marBottom w:val="0"/>
      <w:divBdr>
        <w:top w:val="none" w:sz="0" w:space="0" w:color="auto"/>
        <w:left w:val="none" w:sz="0" w:space="0" w:color="auto"/>
        <w:bottom w:val="none" w:sz="0" w:space="0" w:color="auto"/>
        <w:right w:val="none" w:sz="0" w:space="0" w:color="auto"/>
      </w:divBdr>
    </w:div>
    <w:div w:id="92940304">
      <w:bodyDiv w:val="1"/>
      <w:marLeft w:val="0"/>
      <w:marRight w:val="0"/>
      <w:marTop w:val="0"/>
      <w:marBottom w:val="0"/>
      <w:divBdr>
        <w:top w:val="none" w:sz="0" w:space="0" w:color="auto"/>
        <w:left w:val="none" w:sz="0" w:space="0" w:color="auto"/>
        <w:bottom w:val="none" w:sz="0" w:space="0" w:color="auto"/>
        <w:right w:val="none" w:sz="0" w:space="0" w:color="auto"/>
      </w:divBdr>
    </w:div>
    <w:div w:id="142894334">
      <w:bodyDiv w:val="1"/>
      <w:marLeft w:val="0"/>
      <w:marRight w:val="0"/>
      <w:marTop w:val="0"/>
      <w:marBottom w:val="0"/>
      <w:divBdr>
        <w:top w:val="none" w:sz="0" w:space="0" w:color="auto"/>
        <w:left w:val="none" w:sz="0" w:space="0" w:color="auto"/>
        <w:bottom w:val="none" w:sz="0" w:space="0" w:color="auto"/>
        <w:right w:val="none" w:sz="0" w:space="0" w:color="auto"/>
      </w:divBdr>
    </w:div>
    <w:div w:id="168569947">
      <w:bodyDiv w:val="1"/>
      <w:marLeft w:val="0"/>
      <w:marRight w:val="0"/>
      <w:marTop w:val="0"/>
      <w:marBottom w:val="0"/>
      <w:divBdr>
        <w:top w:val="none" w:sz="0" w:space="0" w:color="auto"/>
        <w:left w:val="none" w:sz="0" w:space="0" w:color="auto"/>
        <w:bottom w:val="none" w:sz="0" w:space="0" w:color="auto"/>
        <w:right w:val="none" w:sz="0" w:space="0" w:color="auto"/>
      </w:divBdr>
    </w:div>
    <w:div w:id="197789846">
      <w:bodyDiv w:val="1"/>
      <w:marLeft w:val="0"/>
      <w:marRight w:val="0"/>
      <w:marTop w:val="0"/>
      <w:marBottom w:val="0"/>
      <w:divBdr>
        <w:top w:val="none" w:sz="0" w:space="0" w:color="auto"/>
        <w:left w:val="none" w:sz="0" w:space="0" w:color="auto"/>
        <w:bottom w:val="none" w:sz="0" w:space="0" w:color="auto"/>
        <w:right w:val="none" w:sz="0" w:space="0" w:color="auto"/>
      </w:divBdr>
    </w:div>
    <w:div w:id="290747994">
      <w:bodyDiv w:val="1"/>
      <w:marLeft w:val="0"/>
      <w:marRight w:val="0"/>
      <w:marTop w:val="0"/>
      <w:marBottom w:val="0"/>
      <w:divBdr>
        <w:top w:val="none" w:sz="0" w:space="0" w:color="auto"/>
        <w:left w:val="none" w:sz="0" w:space="0" w:color="auto"/>
        <w:bottom w:val="none" w:sz="0" w:space="0" w:color="auto"/>
        <w:right w:val="none" w:sz="0" w:space="0" w:color="auto"/>
      </w:divBdr>
    </w:div>
    <w:div w:id="614334969">
      <w:bodyDiv w:val="1"/>
      <w:marLeft w:val="0"/>
      <w:marRight w:val="0"/>
      <w:marTop w:val="0"/>
      <w:marBottom w:val="0"/>
      <w:divBdr>
        <w:top w:val="none" w:sz="0" w:space="0" w:color="auto"/>
        <w:left w:val="none" w:sz="0" w:space="0" w:color="auto"/>
        <w:bottom w:val="none" w:sz="0" w:space="0" w:color="auto"/>
        <w:right w:val="none" w:sz="0" w:space="0" w:color="auto"/>
      </w:divBdr>
    </w:div>
    <w:div w:id="626200643">
      <w:bodyDiv w:val="1"/>
      <w:marLeft w:val="0"/>
      <w:marRight w:val="0"/>
      <w:marTop w:val="0"/>
      <w:marBottom w:val="0"/>
      <w:divBdr>
        <w:top w:val="none" w:sz="0" w:space="0" w:color="auto"/>
        <w:left w:val="none" w:sz="0" w:space="0" w:color="auto"/>
        <w:bottom w:val="none" w:sz="0" w:space="0" w:color="auto"/>
        <w:right w:val="none" w:sz="0" w:space="0" w:color="auto"/>
      </w:divBdr>
    </w:div>
    <w:div w:id="705256045">
      <w:bodyDiv w:val="1"/>
      <w:marLeft w:val="0"/>
      <w:marRight w:val="0"/>
      <w:marTop w:val="0"/>
      <w:marBottom w:val="0"/>
      <w:divBdr>
        <w:top w:val="none" w:sz="0" w:space="0" w:color="auto"/>
        <w:left w:val="none" w:sz="0" w:space="0" w:color="auto"/>
        <w:bottom w:val="none" w:sz="0" w:space="0" w:color="auto"/>
        <w:right w:val="none" w:sz="0" w:space="0" w:color="auto"/>
      </w:divBdr>
    </w:div>
    <w:div w:id="758402593">
      <w:bodyDiv w:val="1"/>
      <w:marLeft w:val="0"/>
      <w:marRight w:val="0"/>
      <w:marTop w:val="0"/>
      <w:marBottom w:val="0"/>
      <w:divBdr>
        <w:top w:val="none" w:sz="0" w:space="0" w:color="auto"/>
        <w:left w:val="none" w:sz="0" w:space="0" w:color="auto"/>
        <w:bottom w:val="none" w:sz="0" w:space="0" w:color="auto"/>
        <w:right w:val="none" w:sz="0" w:space="0" w:color="auto"/>
      </w:divBdr>
    </w:div>
    <w:div w:id="808666125">
      <w:bodyDiv w:val="1"/>
      <w:marLeft w:val="0"/>
      <w:marRight w:val="0"/>
      <w:marTop w:val="0"/>
      <w:marBottom w:val="0"/>
      <w:divBdr>
        <w:top w:val="none" w:sz="0" w:space="0" w:color="auto"/>
        <w:left w:val="none" w:sz="0" w:space="0" w:color="auto"/>
        <w:bottom w:val="none" w:sz="0" w:space="0" w:color="auto"/>
        <w:right w:val="none" w:sz="0" w:space="0" w:color="auto"/>
      </w:divBdr>
    </w:div>
    <w:div w:id="994601209">
      <w:bodyDiv w:val="1"/>
      <w:marLeft w:val="0"/>
      <w:marRight w:val="0"/>
      <w:marTop w:val="0"/>
      <w:marBottom w:val="0"/>
      <w:divBdr>
        <w:top w:val="none" w:sz="0" w:space="0" w:color="auto"/>
        <w:left w:val="none" w:sz="0" w:space="0" w:color="auto"/>
        <w:bottom w:val="none" w:sz="0" w:space="0" w:color="auto"/>
        <w:right w:val="none" w:sz="0" w:space="0" w:color="auto"/>
      </w:divBdr>
    </w:div>
    <w:div w:id="994722029">
      <w:bodyDiv w:val="1"/>
      <w:marLeft w:val="0"/>
      <w:marRight w:val="0"/>
      <w:marTop w:val="0"/>
      <w:marBottom w:val="0"/>
      <w:divBdr>
        <w:top w:val="none" w:sz="0" w:space="0" w:color="auto"/>
        <w:left w:val="none" w:sz="0" w:space="0" w:color="auto"/>
        <w:bottom w:val="none" w:sz="0" w:space="0" w:color="auto"/>
        <w:right w:val="none" w:sz="0" w:space="0" w:color="auto"/>
      </w:divBdr>
    </w:div>
    <w:div w:id="1021977836">
      <w:bodyDiv w:val="1"/>
      <w:marLeft w:val="0"/>
      <w:marRight w:val="0"/>
      <w:marTop w:val="0"/>
      <w:marBottom w:val="0"/>
      <w:divBdr>
        <w:top w:val="none" w:sz="0" w:space="0" w:color="auto"/>
        <w:left w:val="none" w:sz="0" w:space="0" w:color="auto"/>
        <w:bottom w:val="none" w:sz="0" w:space="0" w:color="auto"/>
        <w:right w:val="none" w:sz="0" w:space="0" w:color="auto"/>
      </w:divBdr>
    </w:div>
    <w:div w:id="1042630309">
      <w:bodyDiv w:val="1"/>
      <w:marLeft w:val="0"/>
      <w:marRight w:val="0"/>
      <w:marTop w:val="0"/>
      <w:marBottom w:val="0"/>
      <w:divBdr>
        <w:top w:val="none" w:sz="0" w:space="0" w:color="auto"/>
        <w:left w:val="none" w:sz="0" w:space="0" w:color="auto"/>
        <w:bottom w:val="none" w:sz="0" w:space="0" w:color="auto"/>
        <w:right w:val="none" w:sz="0" w:space="0" w:color="auto"/>
      </w:divBdr>
    </w:div>
    <w:div w:id="1092312233">
      <w:bodyDiv w:val="1"/>
      <w:marLeft w:val="0"/>
      <w:marRight w:val="0"/>
      <w:marTop w:val="0"/>
      <w:marBottom w:val="0"/>
      <w:divBdr>
        <w:top w:val="none" w:sz="0" w:space="0" w:color="auto"/>
        <w:left w:val="none" w:sz="0" w:space="0" w:color="auto"/>
        <w:bottom w:val="none" w:sz="0" w:space="0" w:color="auto"/>
        <w:right w:val="none" w:sz="0" w:space="0" w:color="auto"/>
      </w:divBdr>
    </w:div>
    <w:div w:id="1124497066">
      <w:bodyDiv w:val="1"/>
      <w:marLeft w:val="0"/>
      <w:marRight w:val="0"/>
      <w:marTop w:val="0"/>
      <w:marBottom w:val="0"/>
      <w:divBdr>
        <w:top w:val="none" w:sz="0" w:space="0" w:color="auto"/>
        <w:left w:val="none" w:sz="0" w:space="0" w:color="auto"/>
        <w:bottom w:val="none" w:sz="0" w:space="0" w:color="auto"/>
        <w:right w:val="none" w:sz="0" w:space="0" w:color="auto"/>
      </w:divBdr>
    </w:div>
    <w:div w:id="1186989575">
      <w:bodyDiv w:val="1"/>
      <w:marLeft w:val="0"/>
      <w:marRight w:val="0"/>
      <w:marTop w:val="0"/>
      <w:marBottom w:val="0"/>
      <w:divBdr>
        <w:top w:val="none" w:sz="0" w:space="0" w:color="auto"/>
        <w:left w:val="none" w:sz="0" w:space="0" w:color="auto"/>
        <w:bottom w:val="none" w:sz="0" w:space="0" w:color="auto"/>
        <w:right w:val="none" w:sz="0" w:space="0" w:color="auto"/>
      </w:divBdr>
    </w:div>
    <w:div w:id="1342506798">
      <w:bodyDiv w:val="1"/>
      <w:marLeft w:val="0"/>
      <w:marRight w:val="0"/>
      <w:marTop w:val="0"/>
      <w:marBottom w:val="0"/>
      <w:divBdr>
        <w:top w:val="none" w:sz="0" w:space="0" w:color="auto"/>
        <w:left w:val="none" w:sz="0" w:space="0" w:color="auto"/>
        <w:bottom w:val="none" w:sz="0" w:space="0" w:color="auto"/>
        <w:right w:val="none" w:sz="0" w:space="0" w:color="auto"/>
      </w:divBdr>
    </w:div>
    <w:div w:id="1416056341">
      <w:bodyDiv w:val="1"/>
      <w:marLeft w:val="0"/>
      <w:marRight w:val="0"/>
      <w:marTop w:val="0"/>
      <w:marBottom w:val="0"/>
      <w:divBdr>
        <w:top w:val="none" w:sz="0" w:space="0" w:color="auto"/>
        <w:left w:val="none" w:sz="0" w:space="0" w:color="auto"/>
        <w:bottom w:val="none" w:sz="0" w:space="0" w:color="auto"/>
        <w:right w:val="none" w:sz="0" w:space="0" w:color="auto"/>
      </w:divBdr>
    </w:div>
    <w:div w:id="1617633898">
      <w:bodyDiv w:val="1"/>
      <w:marLeft w:val="0"/>
      <w:marRight w:val="0"/>
      <w:marTop w:val="0"/>
      <w:marBottom w:val="0"/>
      <w:divBdr>
        <w:top w:val="none" w:sz="0" w:space="0" w:color="auto"/>
        <w:left w:val="none" w:sz="0" w:space="0" w:color="auto"/>
        <w:bottom w:val="none" w:sz="0" w:space="0" w:color="auto"/>
        <w:right w:val="none" w:sz="0" w:space="0" w:color="auto"/>
      </w:divBdr>
    </w:div>
    <w:div w:id="1635481634">
      <w:bodyDiv w:val="1"/>
      <w:marLeft w:val="0"/>
      <w:marRight w:val="0"/>
      <w:marTop w:val="0"/>
      <w:marBottom w:val="0"/>
      <w:divBdr>
        <w:top w:val="none" w:sz="0" w:space="0" w:color="auto"/>
        <w:left w:val="none" w:sz="0" w:space="0" w:color="auto"/>
        <w:bottom w:val="none" w:sz="0" w:space="0" w:color="auto"/>
        <w:right w:val="none" w:sz="0" w:space="0" w:color="auto"/>
      </w:divBdr>
    </w:div>
    <w:div w:id="1662274635">
      <w:bodyDiv w:val="1"/>
      <w:marLeft w:val="0"/>
      <w:marRight w:val="0"/>
      <w:marTop w:val="0"/>
      <w:marBottom w:val="0"/>
      <w:divBdr>
        <w:top w:val="none" w:sz="0" w:space="0" w:color="auto"/>
        <w:left w:val="none" w:sz="0" w:space="0" w:color="auto"/>
        <w:bottom w:val="none" w:sz="0" w:space="0" w:color="auto"/>
        <w:right w:val="none" w:sz="0" w:space="0" w:color="auto"/>
      </w:divBdr>
    </w:div>
    <w:div w:id="1688411357">
      <w:bodyDiv w:val="1"/>
      <w:marLeft w:val="0"/>
      <w:marRight w:val="0"/>
      <w:marTop w:val="0"/>
      <w:marBottom w:val="0"/>
      <w:divBdr>
        <w:top w:val="none" w:sz="0" w:space="0" w:color="auto"/>
        <w:left w:val="none" w:sz="0" w:space="0" w:color="auto"/>
        <w:bottom w:val="none" w:sz="0" w:space="0" w:color="auto"/>
        <w:right w:val="none" w:sz="0" w:space="0" w:color="auto"/>
      </w:divBdr>
    </w:div>
    <w:div w:id="1759524393">
      <w:bodyDiv w:val="1"/>
      <w:marLeft w:val="0"/>
      <w:marRight w:val="0"/>
      <w:marTop w:val="0"/>
      <w:marBottom w:val="0"/>
      <w:divBdr>
        <w:top w:val="none" w:sz="0" w:space="0" w:color="auto"/>
        <w:left w:val="none" w:sz="0" w:space="0" w:color="auto"/>
        <w:bottom w:val="none" w:sz="0" w:space="0" w:color="auto"/>
        <w:right w:val="none" w:sz="0" w:space="0" w:color="auto"/>
      </w:divBdr>
    </w:div>
    <w:div w:id="1835609442">
      <w:bodyDiv w:val="1"/>
      <w:marLeft w:val="0"/>
      <w:marRight w:val="0"/>
      <w:marTop w:val="0"/>
      <w:marBottom w:val="0"/>
      <w:divBdr>
        <w:top w:val="none" w:sz="0" w:space="0" w:color="auto"/>
        <w:left w:val="none" w:sz="0" w:space="0" w:color="auto"/>
        <w:bottom w:val="none" w:sz="0" w:space="0" w:color="auto"/>
        <w:right w:val="none" w:sz="0" w:space="0" w:color="auto"/>
      </w:divBdr>
    </w:div>
    <w:div w:id="1836412710">
      <w:bodyDiv w:val="1"/>
      <w:marLeft w:val="0"/>
      <w:marRight w:val="0"/>
      <w:marTop w:val="0"/>
      <w:marBottom w:val="0"/>
      <w:divBdr>
        <w:top w:val="none" w:sz="0" w:space="0" w:color="auto"/>
        <w:left w:val="none" w:sz="0" w:space="0" w:color="auto"/>
        <w:bottom w:val="none" w:sz="0" w:space="0" w:color="auto"/>
        <w:right w:val="none" w:sz="0" w:space="0" w:color="auto"/>
      </w:divBdr>
    </w:div>
    <w:div w:id="1842240011">
      <w:bodyDiv w:val="1"/>
      <w:marLeft w:val="0"/>
      <w:marRight w:val="0"/>
      <w:marTop w:val="0"/>
      <w:marBottom w:val="0"/>
      <w:divBdr>
        <w:top w:val="none" w:sz="0" w:space="0" w:color="auto"/>
        <w:left w:val="none" w:sz="0" w:space="0" w:color="auto"/>
        <w:bottom w:val="none" w:sz="0" w:space="0" w:color="auto"/>
        <w:right w:val="none" w:sz="0" w:space="0" w:color="auto"/>
      </w:divBdr>
    </w:div>
    <w:div w:id="1861308512">
      <w:bodyDiv w:val="1"/>
      <w:marLeft w:val="0"/>
      <w:marRight w:val="0"/>
      <w:marTop w:val="0"/>
      <w:marBottom w:val="0"/>
      <w:divBdr>
        <w:top w:val="none" w:sz="0" w:space="0" w:color="auto"/>
        <w:left w:val="none" w:sz="0" w:space="0" w:color="auto"/>
        <w:bottom w:val="none" w:sz="0" w:space="0" w:color="auto"/>
        <w:right w:val="none" w:sz="0" w:space="0" w:color="auto"/>
      </w:divBdr>
    </w:div>
    <w:div w:id="1866670258">
      <w:bodyDiv w:val="1"/>
      <w:marLeft w:val="0"/>
      <w:marRight w:val="0"/>
      <w:marTop w:val="0"/>
      <w:marBottom w:val="0"/>
      <w:divBdr>
        <w:top w:val="none" w:sz="0" w:space="0" w:color="auto"/>
        <w:left w:val="none" w:sz="0" w:space="0" w:color="auto"/>
        <w:bottom w:val="none" w:sz="0" w:space="0" w:color="auto"/>
        <w:right w:val="none" w:sz="0" w:space="0" w:color="auto"/>
      </w:divBdr>
    </w:div>
    <w:div w:id="1988362731">
      <w:bodyDiv w:val="1"/>
      <w:marLeft w:val="0"/>
      <w:marRight w:val="0"/>
      <w:marTop w:val="0"/>
      <w:marBottom w:val="0"/>
      <w:divBdr>
        <w:top w:val="none" w:sz="0" w:space="0" w:color="auto"/>
        <w:left w:val="none" w:sz="0" w:space="0" w:color="auto"/>
        <w:bottom w:val="none" w:sz="0" w:space="0" w:color="auto"/>
        <w:right w:val="none" w:sz="0" w:space="0" w:color="auto"/>
      </w:divBdr>
    </w:div>
    <w:div w:id="2122262077">
      <w:bodyDiv w:val="1"/>
      <w:marLeft w:val="0"/>
      <w:marRight w:val="0"/>
      <w:marTop w:val="0"/>
      <w:marBottom w:val="0"/>
      <w:divBdr>
        <w:top w:val="none" w:sz="0" w:space="0" w:color="auto"/>
        <w:left w:val="none" w:sz="0" w:space="0" w:color="auto"/>
        <w:bottom w:val="none" w:sz="0" w:space="0" w:color="auto"/>
        <w:right w:val="none" w:sz="0" w:space="0" w:color="auto"/>
      </w:divBdr>
    </w:div>
    <w:div w:id="2129274769">
      <w:bodyDiv w:val="1"/>
      <w:marLeft w:val="0"/>
      <w:marRight w:val="0"/>
      <w:marTop w:val="0"/>
      <w:marBottom w:val="0"/>
      <w:divBdr>
        <w:top w:val="none" w:sz="0" w:space="0" w:color="auto"/>
        <w:left w:val="none" w:sz="0" w:space="0" w:color="auto"/>
        <w:bottom w:val="none" w:sz="0" w:space="0" w:color="auto"/>
        <w:right w:val="none" w:sz="0" w:space="0" w:color="auto"/>
      </w:divBdr>
    </w:div>
    <w:div w:id="21462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Prajapati</dc:creator>
  <cp:keywords/>
  <dc:description/>
  <cp:lastModifiedBy>Pradeep Prajapati</cp:lastModifiedBy>
  <cp:revision>262</cp:revision>
  <dcterms:created xsi:type="dcterms:W3CDTF">2023-03-29T09:54:00Z</dcterms:created>
  <dcterms:modified xsi:type="dcterms:W3CDTF">2024-10-11T11:46:00Z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6cbf1dd8-cafb-4a38-9e21-d86b9b62c663</vt:lpwstr>
  </property>
</Properties>
</file>